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D7E7" w14:textId="69C3871D" w:rsidR="00F02BE3" w:rsidRPr="009A4E33" w:rsidRDefault="004B4F42" w:rsidP="00F02BE3">
      <w:pPr>
        <w:jc w:val="center"/>
        <w:rPr>
          <w:rFonts w:ascii="Comenia Serif" w:hAnsi="Comenia Serif"/>
          <w:b/>
        </w:rPr>
      </w:pPr>
      <w:r>
        <w:rPr>
          <w:rFonts w:ascii="Comenia Serif" w:hAnsi="Comenia Serif"/>
          <w:b/>
          <w:bCs/>
        </w:rPr>
        <w:t>Výroční zpráva grantového projektu zakázka č. 2109</w:t>
      </w:r>
    </w:p>
    <w:p w14:paraId="6C2D8A10" w14:textId="63C8B4D5" w:rsidR="00F02BE3" w:rsidRPr="009A4E33" w:rsidRDefault="00F02BE3" w:rsidP="00F02BE3">
      <w:pPr>
        <w:jc w:val="center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 (specifický výzkum v</w:t>
      </w:r>
      <w:r w:rsidRPr="009A4E33">
        <w:rPr>
          <w:rFonts w:ascii="Times New Roman" w:hAnsi="Times New Roman"/>
          <w:sz w:val="20"/>
          <w:szCs w:val="20"/>
        </w:rPr>
        <w:t> </w:t>
      </w:r>
      <w:r w:rsidRPr="009A4E33">
        <w:rPr>
          <w:rFonts w:ascii="Comenia Serif" w:hAnsi="Comenia Serif"/>
          <w:sz w:val="20"/>
          <w:szCs w:val="20"/>
        </w:rPr>
        <w:t>roce 201</w:t>
      </w:r>
      <w:r w:rsidR="00EA2CD1">
        <w:rPr>
          <w:rFonts w:ascii="Comenia Serif" w:hAnsi="Comenia Serif"/>
          <w:sz w:val="20"/>
          <w:szCs w:val="20"/>
        </w:rPr>
        <w:t>9</w:t>
      </w:r>
      <w:r w:rsidRPr="009A4E33">
        <w:rPr>
          <w:rFonts w:ascii="Comenia Serif" w:hAnsi="Comenia Serif"/>
          <w:sz w:val="20"/>
          <w:szCs w:val="20"/>
        </w:rPr>
        <w:t>)</w:t>
      </w:r>
    </w:p>
    <w:p w14:paraId="2A167D27" w14:textId="77777777" w:rsidR="00F02BE3" w:rsidRPr="009A4E33" w:rsidRDefault="00F02BE3" w:rsidP="00F02BE3">
      <w:pPr>
        <w:rPr>
          <w:rFonts w:ascii="Comenia Serif" w:hAnsi="Comenia Serif"/>
          <w:sz w:val="20"/>
          <w:szCs w:val="20"/>
        </w:rPr>
      </w:pPr>
    </w:p>
    <w:p w14:paraId="3BCC0607" w14:textId="25CE2C38" w:rsidR="00F02BE3" w:rsidRDefault="00F02BE3" w:rsidP="00F02BE3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Název projektu</w:t>
      </w:r>
      <w:r w:rsidRPr="009A4E33">
        <w:rPr>
          <w:rFonts w:ascii="Comenia Serif" w:hAnsi="Comenia Serif"/>
          <w:sz w:val="20"/>
          <w:szCs w:val="20"/>
        </w:rPr>
        <w:t xml:space="preserve"> (80 znaků):</w:t>
      </w:r>
      <w:r w:rsidR="00AA538A">
        <w:rPr>
          <w:rFonts w:ascii="Comenia Serif" w:hAnsi="Comenia Serif"/>
          <w:sz w:val="20"/>
          <w:szCs w:val="20"/>
        </w:rPr>
        <w:tab/>
      </w:r>
      <w:proofErr w:type="spellStart"/>
      <w:r w:rsidR="00E6505F">
        <w:rPr>
          <w:rFonts w:ascii="Comenia Serif" w:hAnsi="Comenia Serif"/>
          <w:sz w:val="20"/>
          <w:szCs w:val="20"/>
        </w:rPr>
        <w:t>S</w:t>
      </w:r>
      <w:r w:rsidR="00EB4018">
        <w:rPr>
          <w:rFonts w:ascii="Comenia Serif" w:hAnsi="Comenia Serif"/>
          <w:sz w:val="20"/>
          <w:szCs w:val="20"/>
        </w:rPr>
        <w:t>ocio</w:t>
      </w:r>
      <w:proofErr w:type="spellEnd"/>
      <w:r w:rsidR="00EB4018">
        <w:rPr>
          <w:rFonts w:ascii="Comenia Serif" w:hAnsi="Comenia Serif"/>
          <w:sz w:val="20"/>
          <w:szCs w:val="20"/>
        </w:rPr>
        <w:t>-ekonomické</w:t>
      </w:r>
      <w:r w:rsidR="007F34F8">
        <w:rPr>
          <w:rFonts w:ascii="Comenia Serif" w:hAnsi="Comenia Serif"/>
          <w:sz w:val="20"/>
          <w:szCs w:val="20"/>
        </w:rPr>
        <w:t xml:space="preserve"> </w:t>
      </w:r>
      <w:r w:rsidR="00E6505F">
        <w:rPr>
          <w:rFonts w:ascii="Comenia Serif" w:hAnsi="Comenia Serif"/>
          <w:sz w:val="20"/>
          <w:szCs w:val="20"/>
        </w:rPr>
        <w:t>modely</w:t>
      </w:r>
      <w:r w:rsidR="00524988">
        <w:rPr>
          <w:rFonts w:ascii="Comenia Serif" w:hAnsi="Comenia Serif"/>
          <w:sz w:val="20"/>
          <w:szCs w:val="20"/>
        </w:rPr>
        <w:t xml:space="preserve"> a autonomní systémy</w:t>
      </w:r>
      <w:r w:rsidR="00EA2CD1">
        <w:rPr>
          <w:rFonts w:ascii="Comenia Serif" w:hAnsi="Comenia Serif"/>
          <w:sz w:val="20"/>
          <w:szCs w:val="20"/>
        </w:rPr>
        <w:t xml:space="preserve"> 2</w:t>
      </w:r>
    </w:p>
    <w:p w14:paraId="24D79193" w14:textId="718315D7" w:rsidR="00AA538A" w:rsidRPr="009A4E33" w:rsidRDefault="00AA538A" w:rsidP="00F02BE3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proofErr w:type="spellStart"/>
      <w:r>
        <w:rPr>
          <w:rFonts w:ascii="Comenia Serif" w:hAnsi="Comenia Serif"/>
          <w:sz w:val="20"/>
          <w:szCs w:val="20"/>
        </w:rPr>
        <w:t>Socio-economic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models</w:t>
      </w:r>
      <w:proofErr w:type="spellEnd"/>
      <w:r>
        <w:rPr>
          <w:rFonts w:ascii="Comenia Serif" w:hAnsi="Comenia Serif"/>
          <w:sz w:val="20"/>
          <w:szCs w:val="20"/>
        </w:rPr>
        <w:t xml:space="preserve"> and </w:t>
      </w:r>
      <w:proofErr w:type="spellStart"/>
      <w:r>
        <w:rPr>
          <w:rFonts w:ascii="Comenia Serif" w:hAnsi="Comenia Serif"/>
          <w:sz w:val="20"/>
          <w:szCs w:val="20"/>
        </w:rPr>
        <w:t>autonomous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systems</w:t>
      </w:r>
      <w:proofErr w:type="spellEnd"/>
      <w:r w:rsidR="00EA2CD1">
        <w:rPr>
          <w:rFonts w:ascii="Comenia Serif" w:hAnsi="Comenia Serif"/>
          <w:sz w:val="20"/>
          <w:szCs w:val="20"/>
        </w:rPr>
        <w:t xml:space="preserve"> 2</w:t>
      </w:r>
    </w:p>
    <w:p w14:paraId="1D10119D" w14:textId="531B592B" w:rsidR="00F02BE3" w:rsidRPr="009A4E33" w:rsidRDefault="00F02BE3" w:rsidP="00F02BE3">
      <w:pPr>
        <w:rPr>
          <w:rFonts w:ascii="Comenia Serif" w:hAnsi="Comenia Serif"/>
          <w:sz w:val="20"/>
          <w:szCs w:val="20"/>
        </w:rPr>
      </w:pPr>
    </w:p>
    <w:p w14:paraId="62289A03" w14:textId="77777777" w:rsidR="00F02BE3" w:rsidRPr="009A4E33" w:rsidRDefault="00F02BE3" w:rsidP="00F02BE3">
      <w:pPr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Specifikace řešitelského týmu</w:t>
      </w:r>
    </w:p>
    <w:p w14:paraId="4AA9400D" w14:textId="77777777" w:rsidR="00F02BE3" w:rsidRPr="009A4E33" w:rsidRDefault="00F02BE3" w:rsidP="00F02BE3">
      <w:pPr>
        <w:rPr>
          <w:rFonts w:ascii="Comenia Serif" w:hAnsi="Comenia Serif"/>
          <w:b/>
          <w:sz w:val="20"/>
          <w:szCs w:val="20"/>
        </w:rPr>
      </w:pPr>
    </w:p>
    <w:p w14:paraId="5A0B2031" w14:textId="77777777" w:rsidR="00F02BE3" w:rsidRPr="009A4E33" w:rsidRDefault="00F02BE3" w:rsidP="00F02BE3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Odpovědný řešitel:</w:t>
      </w:r>
      <w:r w:rsidR="000845C9">
        <w:rPr>
          <w:rFonts w:ascii="Comenia Serif" w:hAnsi="Comenia Serif"/>
          <w:sz w:val="20"/>
          <w:szCs w:val="20"/>
        </w:rPr>
        <w:tab/>
      </w:r>
      <w:r w:rsidR="000845C9">
        <w:rPr>
          <w:rFonts w:ascii="Comenia Serif" w:hAnsi="Comenia Serif"/>
          <w:sz w:val="20"/>
          <w:szCs w:val="20"/>
        </w:rPr>
        <w:tab/>
      </w:r>
      <w:r w:rsidR="000845C9" w:rsidRPr="000845C9">
        <w:rPr>
          <w:rFonts w:ascii="Comenia Serif" w:hAnsi="Comenia Serif"/>
          <w:sz w:val="20"/>
          <w:szCs w:val="20"/>
        </w:rPr>
        <w:t>Ing. Tomáš Nacházel</w:t>
      </w:r>
    </w:p>
    <w:p w14:paraId="77DEE019" w14:textId="77777777" w:rsidR="00F02BE3" w:rsidRDefault="00F02BE3" w:rsidP="00F02BE3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Studenti doktorského studia:</w:t>
      </w:r>
      <w:r w:rsidR="000845C9">
        <w:rPr>
          <w:rFonts w:ascii="Comenia Serif" w:hAnsi="Comenia Serif"/>
          <w:sz w:val="20"/>
          <w:szCs w:val="20"/>
        </w:rPr>
        <w:tab/>
      </w:r>
      <w:r w:rsidR="000845C9" w:rsidRPr="000845C9">
        <w:rPr>
          <w:rFonts w:ascii="Comenia Serif" w:hAnsi="Comenia Serif"/>
          <w:sz w:val="20"/>
          <w:szCs w:val="20"/>
        </w:rPr>
        <w:t>Ing. Petr Blecha</w:t>
      </w:r>
    </w:p>
    <w:p w14:paraId="65350978" w14:textId="05499382" w:rsidR="008601F5" w:rsidRDefault="008601F5" w:rsidP="008601F5">
      <w:pPr>
        <w:ind w:firstLine="2835"/>
        <w:rPr>
          <w:rFonts w:ascii="Comenia Serif" w:hAnsi="Comenia Serif"/>
          <w:sz w:val="20"/>
          <w:szCs w:val="20"/>
        </w:rPr>
      </w:pPr>
      <w:r w:rsidRPr="008601F5">
        <w:rPr>
          <w:rFonts w:ascii="Comenia Serif" w:hAnsi="Comenia Serif"/>
          <w:sz w:val="20"/>
          <w:szCs w:val="20"/>
        </w:rPr>
        <w:t xml:space="preserve">Ing. Dalibor </w:t>
      </w:r>
      <w:proofErr w:type="spellStart"/>
      <w:r w:rsidRPr="008601F5">
        <w:rPr>
          <w:rFonts w:ascii="Comenia Serif" w:hAnsi="Comenia Serif"/>
          <w:sz w:val="20"/>
          <w:szCs w:val="20"/>
        </w:rPr>
        <w:t>Cimr</w:t>
      </w:r>
      <w:proofErr w:type="spellEnd"/>
    </w:p>
    <w:p w14:paraId="3C48194A" w14:textId="39E3E57F" w:rsidR="000845C9" w:rsidRDefault="008601F5" w:rsidP="00EA2CD1">
      <w:pPr>
        <w:ind w:firstLine="2835"/>
        <w:rPr>
          <w:rFonts w:ascii="Comenia Serif" w:hAnsi="Comenia Serif"/>
          <w:sz w:val="20"/>
          <w:szCs w:val="20"/>
        </w:rPr>
      </w:pPr>
      <w:r w:rsidRPr="008601F5">
        <w:rPr>
          <w:rFonts w:ascii="Comenia Serif" w:hAnsi="Comenia Serif"/>
          <w:sz w:val="20"/>
          <w:szCs w:val="20"/>
        </w:rPr>
        <w:t>Ing. Ondřej Doležal</w:t>
      </w:r>
    </w:p>
    <w:p w14:paraId="4A7D6A72" w14:textId="10F3EA3D" w:rsidR="00EA2CD1" w:rsidRDefault="002E0221" w:rsidP="00EA2CD1">
      <w:pPr>
        <w:ind w:firstLine="2835"/>
        <w:rPr>
          <w:rFonts w:ascii="Comenia Serif" w:hAnsi="Comenia Serif"/>
          <w:sz w:val="20"/>
          <w:szCs w:val="20"/>
        </w:rPr>
      </w:pPr>
      <w:r w:rsidRPr="002E0221">
        <w:rPr>
          <w:rFonts w:ascii="Comenia Serif" w:hAnsi="Comenia Serif"/>
          <w:sz w:val="20"/>
          <w:szCs w:val="20"/>
        </w:rPr>
        <w:t>Ing. Šárka Křížková</w:t>
      </w:r>
      <w:r w:rsidR="00EA2CD1" w:rsidRPr="00EA2CD1">
        <w:rPr>
          <w:rFonts w:ascii="Comenia Serif" w:hAnsi="Comenia Serif"/>
          <w:sz w:val="20"/>
          <w:szCs w:val="20"/>
        </w:rPr>
        <w:t xml:space="preserve"> </w:t>
      </w:r>
    </w:p>
    <w:p w14:paraId="48697680" w14:textId="77777777" w:rsidR="00EA2CD1" w:rsidRDefault="00EA2CD1" w:rsidP="00EA2CD1">
      <w:pPr>
        <w:ind w:firstLine="2835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Ing. Martin Kopecký</w:t>
      </w:r>
    </w:p>
    <w:p w14:paraId="6256E310" w14:textId="12C78762" w:rsidR="00EA2CD1" w:rsidRDefault="00917B06" w:rsidP="00EA2CD1">
      <w:pPr>
        <w:ind w:firstLine="2835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Ing. Jan Štěpán</w:t>
      </w:r>
      <w:r w:rsidR="00EA2CD1" w:rsidRPr="00EA2CD1">
        <w:rPr>
          <w:rFonts w:ascii="Comenia Serif" w:hAnsi="Comenia Serif"/>
          <w:sz w:val="20"/>
          <w:szCs w:val="20"/>
        </w:rPr>
        <w:t xml:space="preserve"> </w:t>
      </w:r>
    </w:p>
    <w:p w14:paraId="3A51B947" w14:textId="77777777" w:rsidR="00EA2CD1" w:rsidRDefault="00EA2CD1" w:rsidP="00EA2CD1">
      <w:pPr>
        <w:ind w:firstLine="2835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Ing. Martin Král</w:t>
      </w:r>
    </w:p>
    <w:p w14:paraId="44ED7C88" w14:textId="0BA1854F" w:rsidR="002E0221" w:rsidRDefault="00EA2CD1" w:rsidP="00EA2CD1">
      <w:pPr>
        <w:ind w:firstLine="2835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</w:t>
      </w:r>
      <w:r w:rsidRPr="003B1705">
        <w:rPr>
          <w:rFonts w:ascii="Comenia Serif" w:hAnsi="Comenia Serif"/>
          <w:sz w:val="20"/>
          <w:szCs w:val="20"/>
        </w:rPr>
        <w:t xml:space="preserve">Marek </w:t>
      </w:r>
      <w:proofErr w:type="spellStart"/>
      <w:r w:rsidRPr="003B1705">
        <w:rPr>
          <w:rFonts w:ascii="Comenia Serif" w:hAnsi="Comenia Serif"/>
          <w:sz w:val="20"/>
          <w:szCs w:val="20"/>
        </w:rPr>
        <w:t>Zanker</w:t>
      </w:r>
      <w:proofErr w:type="spellEnd"/>
    </w:p>
    <w:p w14:paraId="3806CACF" w14:textId="4DD63223" w:rsidR="00F02BE3" w:rsidRDefault="00F02BE3" w:rsidP="00F02BE3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Školitelé doktorandů:</w:t>
      </w:r>
      <w:r w:rsidR="00715B6D">
        <w:rPr>
          <w:rFonts w:ascii="Comenia Serif" w:hAnsi="Comenia Serif"/>
          <w:sz w:val="20"/>
          <w:szCs w:val="20"/>
        </w:rPr>
        <w:tab/>
      </w:r>
      <w:r w:rsidR="00715B6D">
        <w:rPr>
          <w:rFonts w:ascii="Comenia Serif" w:hAnsi="Comenia Serif"/>
          <w:sz w:val="20"/>
          <w:szCs w:val="20"/>
        </w:rPr>
        <w:tab/>
      </w:r>
      <w:r w:rsidR="00895AA8">
        <w:rPr>
          <w:rFonts w:ascii="Comenia Serif" w:hAnsi="Comenia Serif"/>
          <w:sz w:val="20"/>
          <w:szCs w:val="20"/>
        </w:rPr>
        <w:t>d</w:t>
      </w:r>
      <w:r w:rsidR="00715B6D" w:rsidRPr="00715B6D">
        <w:rPr>
          <w:rFonts w:ascii="Comenia Serif" w:hAnsi="Comenia Serif"/>
          <w:sz w:val="20"/>
          <w:szCs w:val="20"/>
        </w:rPr>
        <w:t xml:space="preserve">oc. RNDr. Kamila </w:t>
      </w:r>
      <w:proofErr w:type="spellStart"/>
      <w:r w:rsidR="00715B6D" w:rsidRPr="00715B6D">
        <w:rPr>
          <w:rFonts w:ascii="Comenia Serif" w:hAnsi="Comenia Serif"/>
          <w:sz w:val="20"/>
          <w:szCs w:val="20"/>
        </w:rPr>
        <w:t>Štekerová</w:t>
      </w:r>
      <w:proofErr w:type="spellEnd"/>
      <w:r w:rsidR="00715B6D" w:rsidRPr="00715B6D">
        <w:rPr>
          <w:rFonts w:ascii="Comenia Serif" w:hAnsi="Comenia Serif"/>
          <w:sz w:val="20"/>
          <w:szCs w:val="20"/>
        </w:rPr>
        <w:t>, Ph.D.</w:t>
      </w:r>
    </w:p>
    <w:p w14:paraId="779F39B1" w14:textId="77777777" w:rsidR="00F81B9A" w:rsidRPr="009A4E33" w:rsidRDefault="00F81B9A" w:rsidP="00F02BE3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Pr="00F81B9A">
        <w:rPr>
          <w:rFonts w:ascii="Comenia Serif" w:hAnsi="Comenia Serif"/>
          <w:sz w:val="20"/>
          <w:szCs w:val="20"/>
        </w:rPr>
        <w:t>prof. RNDr. Peter Mikulecký, PhD.</w:t>
      </w:r>
    </w:p>
    <w:p w14:paraId="32753AFB" w14:textId="77777777" w:rsidR="00F02BE3" w:rsidRDefault="00F02BE3" w:rsidP="00F02BE3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Další výzkumní pracovníci:</w:t>
      </w:r>
      <w:r w:rsidR="00715B6D">
        <w:rPr>
          <w:rFonts w:ascii="Comenia Serif" w:hAnsi="Comenia Serif"/>
          <w:sz w:val="20"/>
          <w:szCs w:val="20"/>
        </w:rPr>
        <w:tab/>
      </w:r>
      <w:r w:rsidR="00715B6D" w:rsidRPr="00715B6D">
        <w:rPr>
          <w:rFonts w:ascii="Comenia Serif" w:hAnsi="Comenia Serif"/>
          <w:sz w:val="20"/>
          <w:szCs w:val="20"/>
        </w:rPr>
        <w:t>RNDr. Petr Tučník, Ph.D.</w:t>
      </w:r>
    </w:p>
    <w:p w14:paraId="56647670" w14:textId="3D09F633" w:rsidR="00CE3768" w:rsidRDefault="00CE3768" w:rsidP="00F02BE3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="00895AA8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>oc. Ing. Vladimír Bureš, Ph.D. MBA</w:t>
      </w:r>
      <w:r>
        <w:rPr>
          <w:rFonts w:ascii="Comenia Serif" w:hAnsi="Comenia Serif"/>
          <w:sz w:val="20"/>
          <w:szCs w:val="20"/>
        </w:rPr>
        <w:tab/>
      </w:r>
    </w:p>
    <w:p w14:paraId="7A544561" w14:textId="77777777" w:rsidR="007F6ABC" w:rsidRDefault="00CE3768" w:rsidP="00520FDC">
      <w:pPr>
        <w:ind w:left="2124" w:firstLine="708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Čech, Ph.D. </w:t>
      </w:r>
    </w:p>
    <w:p w14:paraId="11E8660A" w14:textId="4E83DED9" w:rsidR="00DC7A2C" w:rsidRPr="009A4E33" w:rsidRDefault="005507AF" w:rsidP="00EA2CD1">
      <w:pPr>
        <w:ind w:left="2124" w:firstLine="708"/>
        <w:rPr>
          <w:rFonts w:ascii="Comenia Serif" w:hAnsi="Comenia Serif"/>
          <w:sz w:val="20"/>
          <w:szCs w:val="20"/>
        </w:rPr>
      </w:pPr>
      <w:r w:rsidRPr="005507AF">
        <w:rPr>
          <w:rFonts w:ascii="Comenia Serif" w:hAnsi="Comenia Serif"/>
          <w:sz w:val="20"/>
          <w:szCs w:val="20"/>
        </w:rPr>
        <w:t>Ing. Martina Husáková, Ph.D.</w:t>
      </w:r>
    </w:p>
    <w:p w14:paraId="6930FBB3" w14:textId="77777777" w:rsidR="00F02BE3" w:rsidRPr="009A4E33" w:rsidRDefault="00F02BE3" w:rsidP="00F02BE3">
      <w:pPr>
        <w:rPr>
          <w:rFonts w:ascii="Comenia Serif" w:hAnsi="Comenia Serif"/>
          <w:sz w:val="20"/>
          <w:szCs w:val="20"/>
        </w:rPr>
      </w:pPr>
    </w:p>
    <w:p w14:paraId="321266C3" w14:textId="7C971954" w:rsidR="00F02BE3" w:rsidRDefault="004B4F42" w:rsidP="00F02BE3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Celková částka přidělené dotace:</w:t>
      </w:r>
      <w:r w:rsidR="00F02BE3" w:rsidRPr="004B1545">
        <w:rPr>
          <w:rFonts w:ascii="Comenia Serif" w:hAnsi="Comenia Serif"/>
          <w:b/>
          <w:sz w:val="20"/>
          <w:szCs w:val="20"/>
        </w:rPr>
        <w:t xml:space="preserve">  </w:t>
      </w:r>
      <w:r w:rsidR="00880134">
        <w:rPr>
          <w:rFonts w:ascii="Comenia Serif" w:hAnsi="Comenia Serif"/>
          <w:b/>
          <w:sz w:val="20"/>
          <w:szCs w:val="20"/>
        </w:rPr>
        <w:tab/>
      </w:r>
      <w:r w:rsidR="00AD4012" w:rsidRPr="00AD4012">
        <w:rPr>
          <w:rFonts w:ascii="Comenia Serif" w:hAnsi="Comenia Serif"/>
          <w:b/>
          <w:sz w:val="20"/>
          <w:szCs w:val="20"/>
        </w:rPr>
        <w:t>218 100</w:t>
      </w:r>
      <w:r w:rsidR="007A0768" w:rsidRPr="004B1545">
        <w:rPr>
          <w:rFonts w:ascii="Comenia Serif" w:hAnsi="Comenia Serif"/>
          <w:b/>
          <w:sz w:val="20"/>
          <w:szCs w:val="20"/>
        </w:rPr>
        <w:t>,- </w:t>
      </w:r>
      <w:r w:rsidR="00F02BE3" w:rsidRPr="004B1545">
        <w:rPr>
          <w:rFonts w:ascii="Comenia Serif" w:hAnsi="Comenia Serif"/>
          <w:b/>
          <w:sz w:val="20"/>
          <w:szCs w:val="20"/>
        </w:rPr>
        <w:t>Kč</w:t>
      </w:r>
    </w:p>
    <w:p w14:paraId="2D43208E" w14:textId="77777777" w:rsidR="004B4F42" w:rsidRDefault="004B4F42" w:rsidP="00F02BE3">
      <w:pPr>
        <w:rPr>
          <w:rFonts w:ascii="Comenia Serif" w:hAnsi="Comenia Serif"/>
          <w:b/>
          <w:sz w:val="20"/>
          <w:szCs w:val="20"/>
        </w:rPr>
      </w:pPr>
    </w:p>
    <w:p w14:paraId="0344AB40" w14:textId="1461AB66" w:rsidR="004B4F42" w:rsidRPr="001A0BCF" w:rsidRDefault="004B4F42" w:rsidP="00F02BE3">
      <w:pPr>
        <w:rPr>
          <w:rFonts w:ascii="Comenia Serif" w:hAnsi="Comenia Serif"/>
          <w:b/>
          <w:sz w:val="20"/>
          <w:szCs w:val="20"/>
        </w:rPr>
      </w:pPr>
      <w:r w:rsidRPr="001A0BCF">
        <w:rPr>
          <w:rFonts w:ascii="Comenia Serif" w:hAnsi="Comenia Serif"/>
          <w:b/>
          <w:bCs/>
          <w:sz w:val="20"/>
          <w:szCs w:val="20"/>
        </w:rPr>
        <w:t xml:space="preserve">Způsobilé náklady projektu: </w:t>
      </w:r>
      <w:r w:rsidR="00200A4E" w:rsidRPr="001A0BCF">
        <w:rPr>
          <w:rFonts w:ascii="Comenia Serif" w:hAnsi="Comenia Serif"/>
          <w:b/>
          <w:bCs/>
          <w:sz w:val="20"/>
          <w:szCs w:val="20"/>
        </w:rPr>
        <w:t xml:space="preserve"> </w:t>
      </w:r>
      <w:r w:rsidR="00956161">
        <w:rPr>
          <w:rFonts w:ascii="Comenia Serif" w:hAnsi="Comenia Serif"/>
          <w:b/>
          <w:bCs/>
          <w:sz w:val="20"/>
          <w:szCs w:val="20"/>
        </w:rPr>
        <w:tab/>
      </w:r>
      <w:r w:rsidR="00AD4012">
        <w:rPr>
          <w:rFonts w:ascii="Comenia Serif" w:hAnsi="Comenia Serif"/>
          <w:b/>
          <w:bCs/>
          <w:sz w:val="20"/>
          <w:szCs w:val="20"/>
        </w:rPr>
        <w:t>219 656,</w:t>
      </w:r>
      <w:r w:rsidR="00AD4012" w:rsidRPr="00AD4012">
        <w:rPr>
          <w:rFonts w:ascii="Comenia Serif" w:hAnsi="Comenia Serif"/>
          <w:b/>
          <w:bCs/>
          <w:sz w:val="20"/>
          <w:szCs w:val="20"/>
        </w:rPr>
        <w:t>32</w:t>
      </w:r>
      <w:r w:rsidR="00200A4E" w:rsidRPr="001A0BCF">
        <w:rPr>
          <w:rFonts w:ascii="Comenia Serif" w:hAnsi="Comenia Serif"/>
          <w:b/>
          <w:bCs/>
          <w:sz w:val="20"/>
          <w:szCs w:val="20"/>
        </w:rPr>
        <w:t xml:space="preserve"> Kč</w:t>
      </w:r>
    </w:p>
    <w:p w14:paraId="06FD2388" w14:textId="77777777" w:rsidR="00F02BE3" w:rsidRPr="001A0BCF" w:rsidRDefault="00F02BE3" w:rsidP="00F02BE3">
      <w:pPr>
        <w:rPr>
          <w:rFonts w:ascii="Comenia Serif" w:hAnsi="Comenia Serif"/>
          <w:sz w:val="20"/>
          <w:szCs w:val="20"/>
        </w:rPr>
      </w:pPr>
    </w:p>
    <w:p w14:paraId="759A01A2" w14:textId="77777777" w:rsidR="004B4F42" w:rsidRPr="001A0BCF" w:rsidRDefault="004B4F42" w:rsidP="004B4F42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1A0BCF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14:paraId="4F64B6B4" w14:textId="7F153B84" w:rsidR="00F02BE3" w:rsidRPr="001A0BCF" w:rsidRDefault="00F02BE3" w:rsidP="00AD4012">
      <w:pPr>
        <w:pStyle w:val="Odstavecseseznamem"/>
        <w:numPr>
          <w:ilvl w:val="0"/>
          <w:numId w:val="1"/>
        </w:numPr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 xml:space="preserve">osobní náklady </w:t>
      </w:r>
      <w:r w:rsidR="00880134" w:rsidRPr="001A0BCF">
        <w:rPr>
          <w:rFonts w:ascii="Comenia Serif" w:hAnsi="Comenia Serif"/>
          <w:sz w:val="20"/>
          <w:szCs w:val="20"/>
        </w:rPr>
        <w:tab/>
      </w:r>
      <w:r w:rsidR="00880134" w:rsidRPr="001A0BCF">
        <w:rPr>
          <w:rFonts w:ascii="Comenia Serif" w:hAnsi="Comenia Serif"/>
          <w:sz w:val="20"/>
          <w:szCs w:val="20"/>
        </w:rPr>
        <w:tab/>
      </w:r>
      <w:r w:rsidR="00AD4012">
        <w:rPr>
          <w:rFonts w:ascii="Comenia Serif" w:hAnsi="Comenia Serif"/>
          <w:b/>
          <w:sz w:val="20"/>
          <w:szCs w:val="20"/>
        </w:rPr>
        <w:t>96 493,</w:t>
      </w:r>
      <w:r w:rsidR="00AD4012" w:rsidRPr="00AD4012">
        <w:rPr>
          <w:rFonts w:ascii="Comenia Serif" w:hAnsi="Comenia Serif"/>
          <w:b/>
          <w:sz w:val="20"/>
          <w:szCs w:val="20"/>
        </w:rPr>
        <w:t>29 Kč</w:t>
      </w:r>
    </w:p>
    <w:p w14:paraId="65C1F6C6" w14:textId="31160CC2" w:rsidR="00F02BE3" w:rsidRPr="001A0BCF" w:rsidRDefault="00F02BE3" w:rsidP="00AD4012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>stipendia</w:t>
      </w:r>
      <w:r w:rsidR="00987EBB" w:rsidRPr="001A0BCF">
        <w:rPr>
          <w:rFonts w:ascii="Comenia Serif" w:hAnsi="Comenia Serif" w:cs="Times New Roman"/>
          <w:sz w:val="20"/>
          <w:szCs w:val="20"/>
        </w:rPr>
        <w:t> </w:t>
      </w:r>
      <w:r w:rsidR="00880134" w:rsidRPr="001A0BCF">
        <w:rPr>
          <w:rFonts w:ascii="Comenia Serif" w:hAnsi="Comenia Serif" w:cs="Times New Roman"/>
          <w:sz w:val="20"/>
          <w:szCs w:val="20"/>
        </w:rPr>
        <w:tab/>
      </w:r>
      <w:r w:rsidR="00880134" w:rsidRPr="001A0BCF">
        <w:rPr>
          <w:rFonts w:ascii="Comenia Serif" w:hAnsi="Comenia Serif" w:cs="Times New Roman"/>
          <w:sz w:val="20"/>
          <w:szCs w:val="20"/>
        </w:rPr>
        <w:tab/>
      </w:r>
      <w:r w:rsidR="00AD4012" w:rsidRPr="00AD4012">
        <w:rPr>
          <w:rFonts w:ascii="Comenia Serif" w:hAnsi="Comenia Serif" w:cs="Times New Roman"/>
          <w:sz w:val="20"/>
          <w:szCs w:val="20"/>
        </w:rPr>
        <w:t>60</w:t>
      </w:r>
      <w:r w:rsidR="00AD4012">
        <w:rPr>
          <w:rFonts w:ascii="Comenia Serif" w:hAnsi="Comenia Serif" w:cs="Times New Roman"/>
          <w:sz w:val="20"/>
          <w:szCs w:val="20"/>
        </w:rPr>
        <w:t> </w:t>
      </w:r>
      <w:r w:rsidR="00AD4012" w:rsidRPr="00AD4012">
        <w:rPr>
          <w:rFonts w:ascii="Comenia Serif" w:hAnsi="Comenia Serif" w:cs="Times New Roman"/>
          <w:sz w:val="20"/>
          <w:szCs w:val="20"/>
        </w:rPr>
        <w:t>200</w:t>
      </w:r>
      <w:r w:rsidR="00AD4012">
        <w:rPr>
          <w:rFonts w:ascii="Comenia Serif" w:hAnsi="Comenia Serif"/>
          <w:sz w:val="20"/>
          <w:szCs w:val="20"/>
        </w:rPr>
        <w:t xml:space="preserve">,- </w:t>
      </w:r>
      <w:r w:rsidR="00AD4012" w:rsidRPr="00AD4012">
        <w:rPr>
          <w:rFonts w:ascii="Comenia Serif" w:hAnsi="Comenia Serif" w:cs="Times New Roman"/>
          <w:sz w:val="20"/>
          <w:szCs w:val="20"/>
        </w:rPr>
        <w:t>Kč</w:t>
      </w:r>
    </w:p>
    <w:p w14:paraId="69401B04" w14:textId="54D3389D" w:rsidR="00187537" w:rsidRPr="001A0BCF" w:rsidRDefault="009A5439" w:rsidP="009A5439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>Stipendia byla rozdělena podle práce související s přípravou podkladů</w:t>
      </w:r>
      <w:r w:rsidR="00375A56">
        <w:rPr>
          <w:rFonts w:ascii="Comenia Serif" w:hAnsi="Comenia Serif"/>
          <w:sz w:val="20"/>
          <w:szCs w:val="20"/>
        </w:rPr>
        <w:t xml:space="preserve"> (návrh a </w:t>
      </w:r>
      <w:r w:rsidR="001268D5" w:rsidRPr="001A0BCF">
        <w:rPr>
          <w:rFonts w:ascii="Comenia Serif" w:hAnsi="Comenia Serif"/>
          <w:sz w:val="20"/>
          <w:szCs w:val="20"/>
        </w:rPr>
        <w:t>implementace modelu, návrh a provádění experimentů, rešeršní práce a tak podobně)</w:t>
      </w:r>
      <w:r w:rsidRPr="001A0BCF">
        <w:rPr>
          <w:rFonts w:ascii="Comenia Serif" w:hAnsi="Comenia Serif"/>
          <w:sz w:val="20"/>
          <w:szCs w:val="20"/>
        </w:rPr>
        <w:t xml:space="preserve"> pro publikační výsledky projektu nebo jinou účastí na plnění cílů projektu. Jmenovitě stipendia obdrželi: Blecha, </w:t>
      </w:r>
      <w:proofErr w:type="spellStart"/>
      <w:r w:rsidRPr="001A0BCF">
        <w:rPr>
          <w:rFonts w:ascii="Comenia Serif" w:hAnsi="Comenia Serif"/>
          <w:sz w:val="20"/>
          <w:szCs w:val="20"/>
        </w:rPr>
        <w:t>Cimr</w:t>
      </w:r>
      <w:proofErr w:type="spellEnd"/>
      <w:r w:rsidRPr="001A0BCF">
        <w:rPr>
          <w:rFonts w:ascii="Comenia Serif" w:hAnsi="Comenia Serif"/>
          <w:sz w:val="20"/>
          <w:szCs w:val="20"/>
        </w:rPr>
        <w:t>, Doležal,</w:t>
      </w:r>
      <w:r w:rsidR="00186DE0">
        <w:rPr>
          <w:rFonts w:ascii="Comenia Serif" w:hAnsi="Comenia Serif"/>
          <w:sz w:val="20"/>
          <w:szCs w:val="20"/>
        </w:rPr>
        <w:t xml:space="preserve"> Kopecký,</w:t>
      </w:r>
      <w:r w:rsidRPr="001A0BCF">
        <w:rPr>
          <w:rFonts w:ascii="Comenia Serif" w:hAnsi="Comenia Serif"/>
          <w:sz w:val="20"/>
          <w:szCs w:val="20"/>
        </w:rPr>
        <w:t xml:space="preserve"> Král, Křížková, </w:t>
      </w:r>
      <w:r w:rsidR="00186DE0">
        <w:rPr>
          <w:rFonts w:ascii="Comenia Serif" w:hAnsi="Comenia Serif"/>
          <w:sz w:val="20"/>
          <w:szCs w:val="20"/>
        </w:rPr>
        <w:t>Nacházel,</w:t>
      </w:r>
      <w:r w:rsidRPr="001A0BCF">
        <w:rPr>
          <w:rFonts w:ascii="Comenia Serif" w:hAnsi="Comenia Serif"/>
          <w:sz w:val="20"/>
          <w:szCs w:val="20"/>
        </w:rPr>
        <w:t xml:space="preserve"> Štěpán</w:t>
      </w:r>
      <w:r w:rsidR="00375A56">
        <w:rPr>
          <w:rFonts w:ascii="Comenia Serif" w:hAnsi="Comenia Serif"/>
          <w:sz w:val="20"/>
          <w:szCs w:val="20"/>
        </w:rPr>
        <w:t xml:space="preserve"> a </w:t>
      </w:r>
      <w:proofErr w:type="spellStart"/>
      <w:r w:rsidR="00186DE0">
        <w:rPr>
          <w:rFonts w:ascii="Comenia Serif" w:hAnsi="Comenia Serif"/>
          <w:sz w:val="20"/>
          <w:szCs w:val="20"/>
        </w:rPr>
        <w:t>Zanker</w:t>
      </w:r>
      <w:proofErr w:type="spellEnd"/>
      <w:r w:rsidRPr="001A0BCF">
        <w:rPr>
          <w:rFonts w:ascii="Comenia Serif" w:hAnsi="Comenia Serif"/>
          <w:sz w:val="20"/>
          <w:szCs w:val="20"/>
        </w:rPr>
        <w:t>.</w:t>
      </w:r>
    </w:p>
    <w:p w14:paraId="5D24EC89" w14:textId="532C661C" w:rsidR="00F02BE3" w:rsidRPr="001A0BCF" w:rsidRDefault="00F02BE3" w:rsidP="00AD4012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 xml:space="preserve">mzdy </w:t>
      </w:r>
      <w:r w:rsidR="00880134" w:rsidRPr="001A0BCF">
        <w:rPr>
          <w:rFonts w:ascii="Comenia Serif" w:hAnsi="Comenia Serif"/>
          <w:sz w:val="20"/>
          <w:szCs w:val="20"/>
        </w:rPr>
        <w:tab/>
      </w:r>
      <w:r w:rsidR="00880134" w:rsidRPr="001A0BCF">
        <w:rPr>
          <w:rFonts w:ascii="Comenia Serif" w:hAnsi="Comenia Serif"/>
          <w:sz w:val="20"/>
          <w:szCs w:val="20"/>
        </w:rPr>
        <w:tab/>
      </w:r>
      <w:r w:rsidR="00AD4012" w:rsidRPr="00AD4012">
        <w:rPr>
          <w:rFonts w:ascii="Comenia Serif" w:hAnsi="Comenia Serif"/>
          <w:sz w:val="20"/>
          <w:szCs w:val="20"/>
        </w:rPr>
        <w:t>27</w:t>
      </w:r>
      <w:r w:rsidR="00AD4012">
        <w:rPr>
          <w:rFonts w:ascii="Comenia Serif" w:hAnsi="Comenia Serif"/>
          <w:sz w:val="20"/>
          <w:szCs w:val="20"/>
        </w:rPr>
        <w:t> </w:t>
      </w:r>
      <w:r w:rsidR="00AD4012" w:rsidRPr="00AD4012">
        <w:rPr>
          <w:rFonts w:ascii="Comenia Serif" w:hAnsi="Comenia Serif"/>
          <w:sz w:val="20"/>
          <w:szCs w:val="20"/>
        </w:rPr>
        <w:t>000</w:t>
      </w:r>
      <w:r w:rsidR="00AD4012">
        <w:rPr>
          <w:rFonts w:ascii="Comenia Serif" w:hAnsi="Comenia Serif"/>
          <w:sz w:val="20"/>
          <w:szCs w:val="20"/>
        </w:rPr>
        <w:t>,-</w:t>
      </w:r>
      <w:r w:rsidR="00AD4012" w:rsidRPr="00AD4012">
        <w:rPr>
          <w:rFonts w:ascii="Comenia Serif" w:hAnsi="Comenia Serif"/>
          <w:sz w:val="20"/>
          <w:szCs w:val="20"/>
        </w:rPr>
        <w:t xml:space="preserve"> Kč</w:t>
      </w:r>
    </w:p>
    <w:p w14:paraId="58B25D11" w14:textId="1E756314" w:rsidR="00B00431" w:rsidRPr="001A0BCF" w:rsidRDefault="009A5439" w:rsidP="00B00431">
      <w:pPr>
        <w:ind w:left="1647"/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>Mzdové prostředky byly rozděleny podle práce související s přípravou podkladů pro publikační výsledky projektu nebo jinou účastí na plnění cílů projektu. Jmenovitě tyto prostř</w:t>
      </w:r>
      <w:r w:rsidR="00186DE0">
        <w:rPr>
          <w:rFonts w:ascii="Comenia Serif" w:hAnsi="Comenia Serif"/>
          <w:sz w:val="20"/>
          <w:szCs w:val="20"/>
        </w:rPr>
        <w:t>edky obdrželi: Bureš, Čech, Husáková</w:t>
      </w:r>
      <w:r w:rsidRPr="001A0BCF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Pr="001A0BCF">
        <w:rPr>
          <w:rFonts w:ascii="Comenia Serif" w:hAnsi="Comenia Serif"/>
          <w:sz w:val="20"/>
          <w:szCs w:val="20"/>
        </w:rPr>
        <w:t>Štekerová</w:t>
      </w:r>
      <w:proofErr w:type="spellEnd"/>
      <w:r w:rsidRPr="001A0BCF">
        <w:rPr>
          <w:rFonts w:ascii="Comenia Serif" w:hAnsi="Comenia Serif"/>
          <w:sz w:val="20"/>
          <w:szCs w:val="20"/>
        </w:rPr>
        <w:t xml:space="preserve"> a </w:t>
      </w:r>
      <w:proofErr w:type="spellStart"/>
      <w:r w:rsidRPr="001A0BCF">
        <w:rPr>
          <w:rFonts w:ascii="Comenia Serif" w:hAnsi="Comenia Serif"/>
          <w:sz w:val="20"/>
          <w:szCs w:val="20"/>
        </w:rPr>
        <w:t>Tučník</w:t>
      </w:r>
      <w:proofErr w:type="spellEnd"/>
      <w:r w:rsidRPr="001A0BCF">
        <w:rPr>
          <w:rFonts w:ascii="Comenia Serif" w:hAnsi="Comenia Serif"/>
          <w:sz w:val="20"/>
          <w:szCs w:val="20"/>
        </w:rPr>
        <w:t>.</w:t>
      </w:r>
    </w:p>
    <w:p w14:paraId="6C931F1B" w14:textId="2A536972" w:rsidR="00F02BE3" w:rsidRPr="001A0BCF" w:rsidRDefault="00F02BE3" w:rsidP="00AB0FE1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 w:cs="Times New Roman"/>
          <w:sz w:val="20"/>
          <w:szCs w:val="20"/>
        </w:rPr>
        <w:t xml:space="preserve">sociální a zdravotní pojištění </w:t>
      </w:r>
      <w:r w:rsidR="00880134" w:rsidRPr="001A0BCF">
        <w:rPr>
          <w:rFonts w:ascii="Comenia Serif" w:hAnsi="Comenia Serif" w:cs="Times New Roman"/>
          <w:sz w:val="20"/>
          <w:szCs w:val="20"/>
        </w:rPr>
        <w:tab/>
      </w:r>
      <w:r w:rsidR="00AB0FE1">
        <w:rPr>
          <w:rFonts w:ascii="Comenia Serif" w:hAnsi="Comenia Serif"/>
          <w:sz w:val="20"/>
          <w:szCs w:val="20"/>
        </w:rPr>
        <w:t>9 293,</w:t>
      </w:r>
      <w:r w:rsidR="00AB0FE1" w:rsidRPr="00AB0FE1">
        <w:rPr>
          <w:rFonts w:ascii="Comenia Serif" w:hAnsi="Comenia Serif"/>
          <w:sz w:val="20"/>
          <w:szCs w:val="20"/>
        </w:rPr>
        <w:t>29 Kč</w:t>
      </w:r>
    </w:p>
    <w:p w14:paraId="7F0F9632" w14:textId="77777777" w:rsidR="00187537" w:rsidRPr="001A0BCF" w:rsidRDefault="00187537" w:rsidP="00187537">
      <w:pPr>
        <w:pStyle w:val="Odstavecseseznamem"/>
        <w:rPr>
          <w:rFonts w:ascii="Comenia Serif" w:hAnsi="Comenia Serif"/>
          <w:sz w:val="20"/>
          <w:szCs w:val="20"/>
        </w:rPr>
      </w:pPr>
    </w:p>
    <w:p w14:paraId="7550E5A0" w14:textId="5D24E8B2" w:rsidR="00187537" w:rsidRPr="009D4E84" w:rsidRDefault="00187537" w:rsidP="009D4E84">
      <w:pPr>
        <w:pStyle w:val="Default"/>
        <w:numPr>
          <w:ilvl w:val="0"/>
          <w:numId w:val="9"/>
        </w:numPr>
        <w:spacing w:after="68"/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>počet členů řešitelského týmu projektu, kteří čerpali mzdové prostředky včetně stipendií ze způsobilých nákladů projektu a z toho počet st</w:t>
      </w:r>
      <w:r w:rsidR="009D4E84">
        <w:rPr>
          <w:rFonts w:ascii="Comenia Serif" w:hAnsi="Comenia Serif"/>
          <w:sz w:val="20"/>
          <w:szCs w:val="20"/>
        </w:rPr>
        <w:t xml:space="preserve">udentů členů řešitelského týmu: </w:t>
      </w:r>
      <w:r w:rsidR="001268D5" w:rsidRPr="009D4E84">
        <w:rPr>
          <w:rFonts w:ascii="Comenia Serif" w:hAnsi="Comenia Serif"/>
          <w:b/>
          <w:sz w:val="20"/>
          <w:szCs w:val="20"/>
        </w:rPr>
        <w:t>14</w:t>
      </w:r>
      <w:r w:rsidR="00375A56">
        <w:rPr>
          <w:rFonts w:ascii="Comenia Serif" w:hAnsi="Comenia Serif"/>
          <w:b/>
          <w:sz w:val="20"/>
          <w:szCs w:val="20"/>
        </w:rPr>
        <w:t> </w:t>
      </w:r>
      <w:r w:rsidRPr="009D4E84">
        <w:rPr>
          <w:rFonts w:ascii="Comenia Serif" w:hAnsi="Comenia Serif"/>
          <w:b/>
          <w:sz w:val="20"/>
          <w:szCs w:val="20"/>
        </w:rPr>
        <w:t xml:space="preserve">z toho </w:t>
      </w:r>
      <w:r w:rsidR="001268D5" w:rsidRPr="009D4E84">
        <w:rPr>
          <w:rFonts w:ascii="Comenia Serif" w:hAnsi="Comenia Serif"/>
          <w:b/>
          <w:sz w:val="20"/>
          <w:szCs w:val="20"/>
        </w:rPr>
        <w:t>9</w:t>
      </w:r>
      <w:r w:rsidRPr="009D4E84">
        <w:rPr>
          <w:rFonts w:ascii="Comenia Serif" w:hAnsi="Comenia Serif"/>
          <w:b/>
          <w:sz w:val="20"/>
          <w:szCs w:val="20"/>
        </w:rPr>
        <w:t xml:space="preserve"> studentů</w:t>
      </w:r>
    </w:p>
    <w:p w14:paraId="74E17425" w14:textId="0934F4E2" w:rsidR="00BE0057" w:rsidRDefault="00187537" w:rsidP="003C57FA">
      <w:pPr>
        <w:pStyle w:val="Default"/>
        <w:numPr>
          <w:ilvl w:val="0"/>
          <w:numId w:val="9"/>
        </w:numPr>
        <w:spacing w:after="68"/>
        <w:jc w:val="both"/>
        <w:rPr>
          <w:rFonts w:ascii="Comenia Serif" w:hAnsi="Comenia Serif"/>
          <w:sz w:val="20"/>
          <w:szCs w:val="20"/>
        </w:rPr>
      </w:pPr>
      <w:r w:rsidRPr="001A0BCF">
        <w:rPr>
          <w:rFonts w:ascii="Comenia Serif" w:hAnsi="Comenia Serif"/>
          <w:sz w:val="20"/>
          <w:szCs w:val="20"/>
        </w:rPr>
        <w:t>způsobilé osobní náklady a z toho osobní náklady studentů (včetně stipendií):</w:t>
      </w:r>
      <w:r w:rsidR="001268D5" w:rsidRPr="001A0BCF">
        <w:rPr>
          <w:rFonts w:ascii="Comenia Serif" w:hAnsi="Comenia Serif"/>
          <w:sz w:val="20"/>
          <w:szCs w:val="20"/>
        </w:rPr>
        <w:t xml:space="preserve"> </w:t>
      </w:r>
      <w:r w:rsidR="003C57FA">
        <w:rPr>
          <w:rFonts w:ascii="Comenia Serif" w:hAnsi="Comenia Serif"/>
          <w:sz w:val="20"/>
          <w:szCs w:val="20"/>
        </w:rPr>
        <w:t>96 493,29 </w:t>
      </w:r>
      <w:r w:rsidR="003C57FA" w:rsidRPr="003C57FA">
        <w:rPr>
          <w:rFonts w:ascii="Comenia Serif" w:hAnsi="Comenia Serif"/>
          <w:sz w:val="20"/>
          <w:szCs w:val="20"/>
        </w:rPr>
        <w:t>Kč</w:t>
      </w:r>
      <w:r w:rsidR="001268D5" w:rsidRPr="001A0BCF">
        <w:rPr>
          <w:rFonts w:ascii="Comenia Serif" w:hAnsi="Comenia Serif"/>
          <w:sz w:val="20"/>
          <w:szCs w:val="20"/>
        </w:rPr>
        <w:t xml:space="preserve"> z toho </w:t>
      </w:r>
      <w:r w:rsidR="00B56CBB" w:rsidRPr="001A0BCF">
        <w:rPr>
          <w:rFonts w:ascii="Comenia Serif" w:hAnsi="Comenia Serif"/>
          <w:sz w:val="20"/>
          <w:szCs w:val="20"/>
        </w:rPr>
        <w:t>osobní náklady studentů</w:t>
      </w:r>
      <w:r w:rsidR="001268D5" w:rsidRPr="001A0BCF">
        <w:rPr>
          <w:rFonts w:ascii="Comenia Serif" w:hAnsi="Comenia Serif"/>
          <w:sz w:val="20"/>
          <w:szCs w:val="20"/>
        </w:rPr>
        <w:t xml:space="preserve">: </w:t>
      </w:r>
      <w:r w:rsidR="003C57FA" w:rsidRPr="00AD4012">
        <w:rPr>
          <w:rFonts w:ascii="Comenia Serif" w:hAnsi="Comenia Serif"/>
          <w:sz w:val="20"/>
          <w:szCs w:val="20"/>
        </w:rPr>
        <w:t>60</w:t>
      </w:r>
      <w:r w:rsidR="003C57FA">
        <w:rPr>
          <w:rFonts w:ascii="Comenia Serif" w:hAnsi="Comenia Serif"/>
          <w:sz w:val="20"/>
          <w:szCs w:val="20"/>
        </w:rPr>
        <w:t> </w:t>
      </w:r>
      <w:r w:rsidR="003C57FA" w:rsidRPr="00AD4012">
        <w:rPr>
          <w:rFonts w:ascii="Comenia Serif" w:hAnsi="Comenia Serif"/>
          <w:sz w:val="20"/>
          <w:szCs w:val="20"/>
        </w:rPr>
        <w:t>200</w:t>
      </w:r>
      <w:r w:rsidR="003C57FA">
        <w:rPr>
          <w:rFonts w:ascii="Comenia Serif" w:hAnsi="Comenia Serif"/>
          <w:sz w:val="20"/>
          <w:szCs w:val="20"/>
        </w:rPr>
        <w:t>,- </w:t>
      </w:r>
      <w:r w:rsidR="003C57FA" w:rsidRPr="00AD4012">
        <w:rPr>
          <w:rFonts w:ascii="Comenia Serif" w:hAnsi="Comenia Serif"/>
          <w:sz w:val="20"/>
          <w:szCs w:val="20"/>
        </w:rPr>
        <w:t>Kč</w:t>
      </w:r>
      <w:r w:rsidR="001268D5" w:rsidRPr="001A0BCF">
        <w:rPr>
          <w:rFonts w:ascii="Comenia Serif" w:hAnsi="Comenia Serif"/>
          <w:sz w:val="20"/>
          <w:szCs w:val="20"/>
        </w:rPr>
        <w:t xml:space="preserve"> (</w:t>
      </w:r>
      <w:r w:rsidR="003C57FA">
        <w:rPr>
          <w:rFonts w:ascii="Comenia Serif" w:hAnsi="Comenia Serif"/>
          <w:b/>
          <w:sz w:val="20"/>
          <w:szCs w:val="20"/>
        </w:rPr>
        <w:t>62,3</w:t>
      </w:r>
      <w:r w:rsidR="001268D5" w:rsidRPr="001A0BCF">
        <w:rPr>
          <w:rFonts w:ascii="Comenia Serif" w:hAnsi="Comenia Serif"/>
          <w:b/>
          <w:sz w:val="20"/>
          <w:szCs w:val="20"/>
        </w:rPr>
        <w:t>9</w:t>
      </w:r>
      <w:r w:rsidR="00B56CBB">
        <w:rPr>
          <w:rFonts w:ascii="Comenia Serif" w:hAnsi="Comenia Serif"/>
          <w:b/>
          <w:sz w:val="20"/>
          <w:szCs w:val="20"/>
        </w:rPr>
        <w:t xml:space="preserve"> </w:t>
      </w:r>
      <w:r w:rsidR="001268D5" w:rsidRPr="001A0BCF">
        <w:rPr>
          <w:rFonts w:ascii="Comenia Serif" w:hAnsi="Comenia Serif"/>
          <w:b/>
          <w:sz w:val="20"/>
          <w:szCs w:val="20"/>
        </w:rPr>
        <w:t>%</w:t>
      </w:r>
      <w:r w:rsidR="001268D5" w:rsidRPr="001A0BCF">
        <w:rPr>
          <w:rFonts w:ascii="Comenia Serif" w:hAnsi="Comenia Serif"/>
          <w:sz w:val="20"/>
          <w:szCs w:val="20"/>
        </w:rPr>
        <w:t>) a jejich stručné zdůvodnění</w:t>
      </w:r>
      <w:r w:rsidR="00BE0057" w:rsidRPr="001A0BCF">
        <w:rPr>
          <w:rFonts w:ascii="Comenia Serif" w:hAnsi="Comenia Serif"/>
          <w:sz w:val="20"/>
          <w:szCs w:val="20"/>
        </w:rPr>
        <w:t>: viz bod 1.a)</w:t>
      </w:r>
    </w:p>
    <w:p w14:paraId="73173E52" w14:textId="13F66FB3" w:rsidR="00F02BE3" w:rsidRPr="00200A4E" w:rsidRDefault="00F02BE3" w:rsidP="00AB0FE1">
      <w:pPr>
        <w:pStyle w:val="Odstavecseseznamem"/>
        <w:numPr>
          <w:ilvl w:val="0"/>
          <w:numId w:val="1"/>
        </w:numPr>
        <w:jc w:val="both"/>
        <w:rPr>
          <w:rFonts w:ascii="Comenia Serif" w:hAnsi="Comenia Serif" w:cs="Times New Roman"/>
          <w:b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lastRenderedPageBreak/>
        <w:t xml:space="preserve">náklady na konference </w:t>
      </w:r>
      <w:r w:rsidR="00415DAC">
        <w:rPr>
          <w:rFonts w:ascii="Comenia Serif" w:hAnsi="Comenia Serif" w:cs="Times New Roman"/>
          <w:sz w:val="20"/>
          <w:szCs w:val="20"/>
        </w:rPr>
        <w:tab/>
      </w:r>
      <w:r w:rsidR="00AB0FE1">
        <w:rPr>
          <w:rFonts w:ascii="Comenia Serif" w:hAnsi="Comenia Serif"/>
          <w:b/>
          <w:sz w:val="20"/>
          <w:szCs w:val="20"/>
        </w:rPr>
        <w:t>49 796,</w:t>
      </w:r>
      <w:r w:rsidR="00AB0FE1" w:rsidRPr="00AB0FE1">
        <w:rPr>
          <w:rFonts w:ascii="Comenia Serif" w:hAnsi="Comenia Serif"/>
          <w:b/>
          <w:sz w:val="20"/>
          <w:szCs w:val="20"/>
        </w:rPr>
        <w:t>94 Kč</w:t>
      </w:r>
    </w:p>
    <w:p w14:paraId="5DBEB371" w14:textId="0C568ECC" w:rsidR="00F02BE3" w:rsidRDefault="00F02BE3" w:rsidP="00AB0FE1">
      <w:pPr>
        <w:pStyle w:val="Odstavecseseznamem"/>
        <w:numPr>
          <w:ilvl w:val="0"/>
          <w:numId w:val="3"/>
        </w:numPr>
        <w:jc w:val="both"/>
        <w:rPr>
          <w:rFonts w:ascii="Comenia Serif" w:hAnsi="Comenia Serif" w:cs="Times New Roman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konferenční poplatky</w:t>
      </w:r>
      <w:r w:rsidR="00917B06">
        <w:rPr>
          <w:rFonts w:ascii="Comenia Serif" w:hAnsi="Comenia Serif" w:cs="Times New Roman"/>
          <w:sz w:val="20"/>
          <w:szCs w:val="20"/>
        </w:rPr>
        <w:t xml:space="preserve"> </w:t>
      </w:r>
      <w:r w:rsidR="00880134">
        <w:rPr>
          <w:rFonts w:ascii="Comenia Serif" w:hAnsi="Comenia Serif" w:cs="Times New Roman"/>
          <w:sz w:val="20"/>
          <w:szCs w:val="20"/>
        </w:rPr>
        <w:tab/>
      </w:r>
      <w:r w:rsidR="00AB0FE1" w:rsidRPr="00AB0FE1">
        <w:rPr>
          <w:rFonts w:ascii="Comenia Serif" w:hAnsi="Comenia Serif"/>
          <w:sz w:val="20"/>
          <w:szCs w:val="20"/>
        </w:rPr>
        <w:t>49 796,94 Kč</w:t>
      </w:r>
    </w:p>
    <w:p w14:paraId="4F407B99" w14:textId="23F6A81A" w:rsidR="005E4D2C" w:rsidRPr="005E4D2C" w:rsidRDefault="00D32478" w:rsidP="005E4D2C">
      <w:pPr>
        <w:ind w:left="164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Byly zaplaceny dva konferenční poplatky (</w:t>
      </w:r>
      <w:r w:rsidR="005E7ABB">
        <w:rPr>
          <w:rFonts w:ascii="Comenia Serif" w:hAnsi="Comenia Serif"/>
          <w:sz w:val="20"/>
          <w:szCs w:val="20"/>
        </w:rPr>
        <w:t xml:space="preserve">celkem </w:t>
      </w:r>
      <w:r w:rsidR="00AB0FE1">
        <w:rPr>
          <w:rFonts w:ascii="Comenia Serif" w:hAnsi="Comenia Serif"/>
          <w:sz w:val="20"/>
          <w:szCs w:val="20"/>
        </w:rPr>
        <w:t>27</w:t>
      </w:r>
      <w:r>
        <w:rPr>
          <w:rFonts w:ascii="Comenia Serif" w:hAnsi="Comenia Serif"/>
          <w:sz w:val="20"/>
          <w:szCs w:val="20"/>
        </w:rPr>
        <w:t> </w:t>
      </w:r>
      <w:r w:rsidR="00AB0FE1">
        <w:rPr>
          <w:rFonts w:ascii="Comenia Serif" w:hAnsi="Comenia Serif"/>
          <w:sz w:val="20"/>
          <w:szCs w:val="20"/>
        </w:rPr>
        <w:t>650</w:t>
      </w:r>
      <w:r>
        <w:rPr>
          <w:rFonts w:ascii="Comenia Serif" w:hAnsi="Comenia Serif"/>
          <w:sz w:val="20"/>
          <w:szCs w:val="20"/>
        </w:rPr>
        <w:t>,</w:t>
      </w:r>
      <w:r w:rsidR="00AB0FE1">
        <w:rPr>
          <w:rFonts w:ascii="Comenia Serif" w:hAnsi="Comenia Serif"/>
          <w:sz w:val="20"/>
          <w:szCs w:val="20"/>
        </w:rPr>
        <w:t>61</w:t>
      </w:r>
      <w:r>
        <w:rPr>
          <w:rFonts w:ascii="Comenia Serif" w:hAnsi="Comenia Serif"/>
          <w:sz w:val="20"/>
          <w:szCs w:val="20"/>
        </w:rPr>
        <w:t xml:space="preserve"> Kč) a jeden publikační poplatek pro časopisecký článek (</w:t>
      </w:r>
      <w:r w:rsidR="00AB0FE1">
        <w:rPr>
          <w:rFonts w:ascii="Comenia Serif" w:hAnsi="Comenia Serif"/>
          <w:sz w:val="20"/>
          <w:szCs w:val="20"/>
        </w:rPr>
        <w:t>22</w:t>
      </w:r>
      <w:r>
        <w:rPr>
          <w:rFonts w:ascii="Comenia Serif" w:hAnsi="Comenia Serif"/>
          <w:sz w:val="20"/>
          <w:szCs w:val="20"/>
        </w:rPr>
        <w:t> </w:t>
      </w:r>
      <w:r w:rsidR="00AB0FE1">
        <w:rPr>
          <w:rFonts w:ascii="Comenia Serif" w:hAnsi="Comenia Serif"/>
          <w:sz w:val="20"/>
          <w:szCs w:val="20"/>
        </w:rPr>
        <w:t>146</w:t>
      </w:r>
      <w:r>
        <w:rPr>
          <w:rFonts w:ascii="Comenia Serif" w:hAnsi="Comenia Serif"/>
          <w:sz w:val="20"/>
          <w:szCs w:val="20"/>
        </w:rPr>
        <w:t>,</w:t>
      </w:r>
      <w:r w:rsidR="00AB0FE1">
        <w:rPr>
          <w:rFonts w:ascii="Comenia Serif" w:hAnsi="Comenia Serif"/>
          <w:sz w:val="20"/>
          <w:szCs w:val="20"/>
        </w:rPr>
        <w:t>33</w:t>
      </w:r>
      <w:r w:rsidRPr="00D32478">
        <w:rPr>
          <w:rFonts w:ascii="Comenia Serif" w:hAnsi="Comenia Serif"/>
          <w:sz w:val="20"/>
          <w:szCs w:val="20"/>
        </w:rPr>
        <w:t xml:space="preserve"> Kč</w:t>
      </w:r>
      <w:r>
        <w:rPr>
          <w:rFonts w:ascii="Comenia Serif" w:hAnsi="Comenia Serif"/>
          <w:sz w:val="20"/>
          <w:szCs w:val="20"/>
        </w:rPr>
        <w:t>)</w:t>
      </w:r>
    </w:p>
    <w:p w14:paraId="7008DB67" w14:textId="34CDC49F" w:rsidR="005E4D2C" w:rsidRPr="00917B06" w:rsidRDefault="00F02BE3" w:rsidP="00917B06">
      <w:pPr>
        <w:pStyle w:val="Odstavecseseznamem"/>
        <w:numPr>
          <w:ilvl w:val="0"/>
          <w:numId w:val="3"/>
        </w:numPr>
        <w:jc w:val="both"/>
        <w:rPr>
          <w:rFonts w:ascii="Comenia Serif" w:hAnsi="Comenia Serif" w:cs="Times New Roman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 xml:space="preserve">cestovní výdaje </w:t>
      </w:r>
      <w:r w:rsidR="00880134">
        <w:rPr>
          <w:rFonts w:ascii="Comenia Serif" w:hAnsi="Comenia Serif" w:cs="Times New Roman"/>
          <w:sz w:val="20"/>
          <w:szCs w:val="20"/>
        </w:rPr>
        <w:tab/>
      </w:r>
      <w:r w:rsidR="00917B06">
        <w:rPr>
          <w:rFonts w:ascii="Comenia Serif" w:hAnsi="Comenia Serif"/>
          <w:sz w:val="20"/>
          <w:szCs w:val="20"/>
        </w:rPr>
        <w:t>0</w:t>
      </w:r>
      <w:r w:rsidR="00987EBB">
        <w:rPr>
          <w:rFonts w:ascii="Comenia Serif" w:hAnsi="Comenia Serif" w:cs="Times New Roman"/>
          <w:sz w:val="20"/>
          <w:szCs w:val="20"/>
        </w:rPr>
        <w:t>,- Kč</w:t>
      </w:r>
    </w:p>
    <w:p w14:paraId="3A9F7DA5" w14:textId="77777777" w:rsidR="000B7BFF" w:rsidRPr="009A4E33" w:rsidRDefault="000B7BFF" w:rsidP="00F02BE3">
      <w:pPr>
        <w:jc w:val="both"/>
        <w:rPr>
          <w:rFonts w:ascii="Comenia Serif" w:hAnsi="Comenia Serif"/>
          <w:sz w:val="20"/>
          <w:szCs w:val="20"/>
        </w:rPr>
      </w:pPr>
    </w:p>
    <w:p w14:paraId="07B9323E" w14:textId="7E29A260" w:rsidR="00F02BE3" w:rsidRPr="009A4E33" w:rsidRDefault="00F02BE3" w:rsidP="00AB0FE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další náklady </w:t>
      </w:r>
      <w:r w:rsidR="00880134">
        <w:rPr>
          <w:rFonts w:ascii="Comenia Serif" w:hAnsi="Comenia Serif"/>
          <w:sz w:val="20"/>
          <w:szCs w:val="20"/>
        </w:rPr>
        <w:tab/>
      </w:r>
      <w:r w:rsidR="00880134">
        <w:rPr>
          <w:rFonts w:ascii="Comenia Serif" w:hAnsi="Comenia Serif"/>
          <w:sz w:val="20"/>
          <w:szCs w:val="20"/>
        </w:rPr>
        <w:tab/>
      </w:r>
      <w:r w:rsidR="00AB0FE1">
        <w:rPr>
          <w:rFonts w:ascii="Comenia Serif" w:hAnsi="Comenia Serif"/>
          <w:b/>
          <w:sz w:val="20"/>
          <w:szCs w:val="20"/>
        </w:rPr>
        <w:t>73 366,</w:t>
      </w:r>
      <w:r w:rsidR="00AB0FE1" w:rsidRPr="00AB0FE1">
        <w:rPr>
          <w:rFonts w:ascii="Comenia Serif" w:hAnsi="Comenia Serif"/>
          <w:b/>
          <w:sz w:val="20"/>
          <w:szCs w:val="20"/>
        </w:rPr>
        <w:t>09 Kč</w:t>
      </w:r>
    </w:p>
    <w:p w14:paraId="66C9279F" w14:textId="7CDC8EF4" w:rsidR="00F02BE3" w:rsidRPr="00F53E98" w:rsidRDefault="00F02BE3" w:rsidP="00186DE0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r w:rsidR="00186DE0" w:rsidRPr="00186DE0">
        <w:rPr>
          <w:rFonts w:ascii="Comenia Serif" w:hAnsi="Comenia Serif"/>
          <w:sz w:val="20"/>
          <w:szCs w:val="20"/>
        </w:rPr>
        <w:t xml:space="preserve">65 146,11 </w:t>
      </w:r>
      <w:r w:rsidR="00987EBB">
        <w:rPr>
          <w:rFonts w:ascii="Comenia Serif" w:hAnsi="Comenia Serif" w:cs="Times New Roman"/>
          <w:sz w:val="20"/>
          <w:szCs w:val="20"/>
        </w:rPr>
        <w:t>Kč</w:t>
      </w:r>
    </w:p>
    <w:p w14:paraId="007F1E38" w14:textId="1EE18E2C" w:rsidR="00F53E98" w:rsidRDefault="00F50D4D" w:rsidP="00F53E98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>Prodloužení licencí platformy</w:t>
      </w:r>
      <w:r w:rsidR="00F53E98">
        <w:rPr>
          <w:rFonts w:ascii="Comenia Serif" w:hAnsi="Comenia Serif" w:cs="Times New Roman"/>
          <w:sz w:val="20"/>
          <w:szCs w:val="20"/>
        </w:rPr>
        <w:t xml:space="preserve"> </w:t>
      </w:r>
      <w:proofErr w:type="spellStart"/>
      <w:r w:rsidR="00F53E98">
        <w:rPr>
          <w:rFonts w:ascii="Comenia Serif" w:hAnsi="Comenia Serif" w:cs="Times New Roman"/>
          <w:sz w:val="20"/>
          <w:szCs w:val="20"/>
        </w:rPr>
        <w:t>Any</w:t>
      </w:r>
      <w:r w:rsidR="009B602E">
        <w:rPr>
          <w:rFonts w:ascii="Comenia Serif" w:hAnsi="Comenia Serif" w:cs="Times New Roman"/>
          <w:sz w:val="20"/>
          <w:szCs w:val="20"/>
        </w:rPr>
        <w:t>L</w:t>
      </w:r>
      <w:r w:rsidR="00F53E98">
        <w:rPr>
          <w:rFonts w:ascii="Comenia Serif" w:hAnsi="Comenia Serif" w:cs="Times New Roman"/>
          <w:sz w:val="20"/>
          <w:szCs w:val="20"/>
        </w:rPr>
        <w:t>ogic</w:t>
      </w:r>
      <w:proofErr w:type="spellEnd"/>
      <w:r w:rsidR="00F36719">
        <w:rPr>
          <w:rFonts w:ascii="Comenia Serif" w:hAnsi="Comenia Serif" w:cs="Times New Roman"/>
          <w:sz w:val="20"/>
          <w:szCs w:val="20"/>
        </w:rPr>
        <w:t xml:space="preserve"> (4x)</w:t>
      </w:r>
      <w:r>
        <w:rPr>
          <w:rFonts w:ascii="Comenia Serif" w:hAnsi="Comenia Serif" w:cs="Times New Roman"/>
          <w:sz w:val="20"/>
          <w:szCs w:val="20"/>
        </w:rPr>
        <w:t xml:space="preserve"> – </w:t>
      </w:r>
      <w:r w:rsidR="00187537">
        <w:rPr>
          <w:rFonts w:ascii="Comenia Serif" w:hAnsi="Comenia Serif" w:cs="Times New Roman"/>
          <w:sz w:val="20"/>
          <w:szCs w:val="20"/>
        </w:rPr>
        <w:t xml:space="preserve">62 </w:t>
      </w:r>
      <w:r w:rsidR="00AB0FE1">
        <w:rPr>
          <w:rFonts w:ascii="Comenia Serif" w:hAnsi="Comenia Serif" w:cs="Times New Roman"/>
          <w:sz w:val="20"/>
          <w:szCs w:val="20"/>
        </w:rPr>
        <w:t>278</w:t>
      </w:r>
      <w:r w:rsidR="00987EBB">
        <w:rPr>
          <w:rFonts w:ascii="Comenia Serif" w:hAnsi="Comenia Serif" w:cs="Times New Roman"/>
          <w:sz w:val="20"/>
          <w:szCs w:val="20"/>
        </w:rPr>
        <w:t>,</w:t>
      </w:r>
      <w:r w:rsidR="00AB0FE1">
        <w:rPr>
          <w:rFonts w:ascii="Comenia Serif" w:hAnsi="Comenia Serif" w:cs="Times New Roman"/>
          <w:sz w:val="20"/>
          <w:szCs w:val="20"/>
        </w:rPr>
        <w:t>7</w:t>
      </w:r>
      <w:r w:rsidR="00187537">
        <w:rPr>
          <w:rFonts w:ascii="Comenia Serif" w:hAnsi="Comenia Serif" w:cs="Times New Roman"/>
          <w:sz w:val="20"/>
          <w:szCs w:val="20"/>
        </w:rPr>
        <w:t>0</w:t>
      </w:r>
      <w:r w:rsidR="00987EBB">
        <w:rPr>
          <w:rFonts w:ascii="Comenia Serif" w:hAnsi="Comenia Serif" w:cs="Times New Roman"/>
          <w:sz w:val="20"/>
          <w:szCs w:val="20"/>
        </w:rPr>
        <w:t> </w:t>
      </w:r>
      <w:r>
        <w:rPr>
          <w:rFonts w:ascii="Comenia Serif" w:hAnsi="Comenia Serif" w:cs="Times New Roman"/>
          <w:sz w:val="20"/>
          <w:szCs w:val="20"/>
        </w:rPr>
        <w:t>Kč.</w:t>
      </w:r>
    </w:p>
    <w:p w14:paraId="3E4E0E0A" w14:textId="1D138606" w:rsidR="00F36719" w:rsidRPr="0085721A" w:rsidRDefault="00F50D4D" w:rsidP="0085721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>Zakoupen</w:t>
      </w:r>
      <w:r w:rsidR="007A0768">
        <w:rPr>
          <w:rFonts w:ascii="Comenia Serif" w:hAnsi="Comenia Serif" w:cs="Times New Roman"/>
          <w:sz w:val="20"/>
          <w:szCs w:val="20"/>
        </w:rPr>
        <w:t xml:space="preserve">í licencí nástroje Stella – </w:t>
      </w:r>
      <w:r w:rsidR="00AB0FE1" w:rsidRPr="00AB0FE1">
        <w:rPr>
          <w:rFonts w:ascii="Comenia Serif" w:hAnsi="Comenia Serif" w:cs="Times New Roman"/>
          <w:sz w:val="20"/>
          <w:szCs w:val="20"/>
        </w:rPr>
        <w:t>2 867.41 Kč</w:t>
      </w:r>
      <w:r>
        <w:rPr>
          <w:rFonts w:ascii="Comenia Serif" w:hAnsi="Comenia Serif" w:cs="Times New Roman"/>
          <w:sz w:val="20"/>
          <w:szCs w:val="20"/>
        </w:rPr>
        <w:t>.</w:t>
      </w:r>
    </w:p>
    <w:p w14:paraId="0FE90C04" w14:textId="017B6AC7" w:rsidR="0085721A" w:rsidRPr="00AB0FE1" w:rsidRDefault="00F02BE3" w:rsidP="0085721A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AB0FE1">
        <w:rPr>
          <w:rFonts w:ascii="Comenia Serif" w:hAnsi="Comenia Serif" w:cs="Times New Roman"/>
          <w:sz w:val="20"/>
          <w:szCs w:val="20"/>
        </w:rPr>
        <w:t xml:space="preserve">provozní náklady </w:t>
      </w:r>
      <w:r w:rsidR="00880134" w:rsidRPr="00AB0FE1">
        <w:rPr>
          <w:rFonts w:ascii="Comenia Serif" w:hAnsi="Comenia Serif" w:cs="Times New Roman"/>
          <w:sz w:val="20"/>
          <w:szCs w:val="20"/>
        </w:rPr>
        <w:tab/>
      </w:r>
      <w:r w:rsidR="00AB0FE1" w:rsidRPr="00AB0FE1">
        <w:rPr>
          <w:rFonts w:ascii="Comenia Serif" w:hAnsi="Comenia Serif" w:cs="Times New Roman"/>
          <w:sz w:val="20"/>
          <w:szCs w:val="20"/>
        </w:rPr>
        <w:t>0</w:t>
      </w:r>
      <w:r w:rsidR="0085721A" w:rsidRPr="00AB0FE1">
        <w:rPr>
          <w:rFonts w:ascii="Comenia Serif" w:hAnsi="Comenia Serif" w:cs="Times New Roman"/>
          <w:sz w:val="20"/>
          <w:szCs w:val="20"/>
        </w:rPr>
        <w:t>,</w:t>
      </w:r>
      <w:r w:rsidR="002D48AD">
        <w:rPr>
          <w:rFonts w:ascii="Comenia Serif" w:hAnsi="Comenia Serif" w:cs="Times New Roman"/>
          <w:sz w:val="20"/>
          <w:szCs w:val="20"/>
        </w:rPr>
        <w:t xml:space="preserve">- </w:t>
      </w:r>
      <w:r w:rsidR="00AB0FE1">
        <w:rPr>
          <w:rFonts w:ascii="Comenia Serif" w:hAnsi="Comenia Serif" w:cs="Times New Roman"/>
          <w:sz w:val="20"/>
          <w:szCs w:val="20"/>
        </w:rPr>
        <w:t>Kč</w:t>
      </w:r>
    </w:p>
    <w:p w14:paraId="3CECE36C" w14:textId="55D294BA" w:rsidR="00F02BE3" w:rsidRPr="005E7ABB" w:rsidRDefault="00F02BE3" w:rsidP="00F02BE3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služby (mimo konferenčních poplatků)</w:t>
      </w:r>
      <w:r w:rsidR="0085721A">
        <w:rPr>
          <w:rFonts w:ascii="Comenia Serif" w:hAnsi="Comenia Serif" w:cs="Times New Roman"/>
          <w:sz w:val="20"/>
          <w:szCs w:val="20"/>
        </w:rPr>
        <w:t xml:space="preserve"> </w:t>
      </w:r>
      <w:r w:rsidR="00880134">
        <w:rPr>
          <w:rFonts w:ascii="Comenia Serif" w:hAnsi="Comenia Serif" w:cs="Times New Roman"/>
          <w:sz w:val="20"/>
          <w:szCs w:val="20"/>
        </w:rPr>
        <w:tab/>
      </w:r>
      <w:r w:rsidR="00186DE0">
        <w:rPr>
          <w:rFonts w:ascii="Comenia Serif" w:hAnsi="Comenia Serif" w:cs="Times New Roman"/>
          <w:sz w:val="20"/>
          <w:szCs w:val="20"/>
        </w:rPr>
        <w:t>6 369,25 Kč</w:t>
      </w:r>
    </w:p>
    <w:p w14:paraId="3EB735EA" w14:textId="29A5D7CE" w:rsidR="005E7ABB" w:rsidRPr="00AD04FA" w:rsidRDefault="005E7ABB" w:rsidP="005E7ABB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>Byly hrazeny služby jazykových korektur pro zkvalitnění jazykové úrovně našich výstupů, které tak mají vyšší šanci na přijetí.</w:t>
      </w:r>
    </w:p>
    <w:p w14:paraId="17B7BE45" w14:textId="08390F1E" w:rsidR="00AD04FA" w:rsidRPr="009A4E33" w:rsidRDefault="0085721A" w:rsidP="00AD04FA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 xml:space="preserve">Jazyková korektura </w:t>
      </w:r>
      <w:r w:rsidR="00AB0FE1">
        <w:rPr>
          <w:rFonts w:ascii="Comenia Serif" w:hAnsi="Comenia Serif" w:cs="Times New Roman"/>
          <w:sz w:val="20"/>
          <w:szCs w:val="20"/>
        </w:rPr>
        <w:t>časopisecké</w:t>
      </w:r>
      <w:r>
        <w:rPr>
          <w:rFonts w:ascii="Comenia Serif" w:hAnsi="Comenia Serif" w:cs="Times New Roman"/>
          <w:sz w:val="20"/>
          <w:szCs w:val="20"/>
        </w:rPr>
        <w:t>h</w:t>
      </w:r>
      <w:r w:rsidR="00AB0FE1">
        <w:rPr>
          <w:rFonts w:ascii="Comenia Serif" w:hAnsi="Comenia Serif" w:cs="Times New Roman"/>
          <w:sz w:val="20"/>
          <w:szCs w:val="20"/>
        </w:rPr>
        <w:t>o článku</w:t>
      </w:r>
      <w:r>
        <w:rPr>
          <w:rFonts w:ascii="Comenia Serif" w:hAnsi="Comenia Serif" w:cs="Times New Roman"/>
          <w:sz w:val="20"/>
          <w:szCs w:val="20"/>
        </w:rPr>
        <w:t xml:space="preserve"> – </w:t>
      </w:r>
      <w:r w:rsidR="00AB0FE1">
        <w:rPr>
          <w:rFonts w:ascii="Comenia Serif" w:hAnsi="Comenia Serif" w:cs="Times New Roman"/>
          <w:sz w:val="20"/>
          <w:szCs w:val="20"/>
        </w:rPr>
        <w:t>6</w:t>
      </w:r>
      <w:r>
        <w:rPr>
          <w:rFonts w:ascii="Comenia Serif" w:hAnsi="Comenia Serif" w:cs="Times New Roman"/>
          <w:sz w:val="20"/>
          <w:szCs w:val="20"/>
        </w:rPr>
        <w:t> </w:t>
      </w:r>
      <w:r w:rsidR="00AB0FE1">
        <w:rPr>
          <w:rFonts w:ascii="Comenia Serif" w:hAnsi="Comenia Serif" w:cs="Times New Roman"/>
          <w:sz w:val="20"/>
          <w:szCs w:val="20"/>
        </w:rPr>
        <w:t>369</w:t>
      </w:r>
      <w:r>
        <w:rPr>
          <w:rFonts w:ascii="Comenia Serif" w:hAnsi="Comenia Serif" w:cs="Times New Roman"/>
          <w:sz w:val="20"/>
          <w:szCs w:val="20"/>
        </w:rPr>
        <w:t>,</w:t>
      </w:r>
      <w:r w:rsidR="00AB0FE1">
        <w:rPr>
          <w:rFonts w:ascii="Comenia Serif" w:hAnsi="Comenia Serif" w:cs="Times New Roman"/>
          <w:sz w:val="20"/>
          <w:szCs w:val="20"/>
        </w:rPr>
        <w:t>25</w:t>
      </w:r>
      <w:r>
        <w:rPr>
          <w:rFonts w:ascii="Comenia Serif" w:hAnsi="Comenia Serif" w:cs="Times New Roman"/>
          <w:sz w:val="20"/>
          <w:szCs w:val="20"/>
        </w:rPr>
        <w:t xml:space="preserve"> Kč</w:t>
      </w:r>
      <w:r w:rsidR="00AD04FA">
        <w:rPr>
          <w:rFonts w:ascii="Comenia Serif" w:hAnsi="Comenia Serif" w:cs="Times New Roman"/>
          <w:sz w:val="20"/>
          <w:szCs w:val="20"/>
        </w:rPr>
        <w:t>.</w:t>
      </w:r>
    </w:p>
    <w:p w14:paraId="66DD7296" w14:textId="08EBE8FC" w:rsidR="00F02BE3" w:rsidRPr="0085721A" w:rsidRDefault="00F02BE3" w:rsidP="00F02BE3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doplňkové náklady</w:t>
      </w:r>
      <w:r>
        <w:rPr>
          <w:rFonts w:ascii="Comenia Serif" w:hAnsi="Comenia Serif" w:cs="Times New Roman"/>
          <w:sz w:val="20"/>
          <w:szCs w:val="20"/>
        </w:rPr>
        <w:t xml:space="preserve"> </w:t>
      </w:r>
      <w:r w:rsidR="00880134">
        <w:rPr>
          <w:rFonts w:ascii="Comenia Serif" w:hAnsi="Comenia Serif" w:cs="Times New Roman"/>
          <w:sz w:val="20"/>
          <w:szCs w:val="20"/>
        </w:rPr>
        <w:tab/>
      </w:r>
      <w:r w:rsidR="00AB0FE1">
        <w:rPr>
          <w:rFonts w:ascii="Comenia Serif" w:hAnsi="Comenia Serif" w:cs="Times New Roman"/>
          <w:sz w:val="20"/>
          <w:szCs w:val="20"/>
        </w:rPr>
        <w:t>1 850</w:t>
      </w:r>
      <w:r w:rsidR="00987EBB">
        <w:rPr>
          <w:rFonts w:ascii="Comenia Serif" w:hAnsi="Comenia Serif" w:cs="Times New Roman"/>
          <w:sz w:val="20"/>
          <w:szCs w:val="20"/>
        </w:rPr>
        <w:t>,</w:t>
      </w:r>
      <w:r w:rsidR="00AB0FE1">
        <w:rPr>
          <w:rFonts w:ascii="Comenia Serif" w:hAnsi="Comenia Serif" w:cs="Times New Roman"/>
          <w:sz w:val="20"/>
          <w:szCs w:val="20"/>
        </w:rPr>
        <w:t>73</w:t>
      </w:r>
      <w:r w:rsidR="00987EBB">
        <w:rPr>
          <w:rFonts w:ascii="Comenia Serif" w:hAnsi="Comenia Serif" w:cs="Times New Roman"/>
          <w:sz w:val="20"/>
          <w:szCs w:val="20"/>
        </w:rPr>
        <w:t> Kč</w:t>
      </w:r>
    </w:p>
    <w:p w14:paraId="2B2913D8" w14:textId="07B46A58" w:rsidR="0085721A" w:rsidRDefault="0085721A" w:rsidP="0085721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 xml:space="preserve">Kurzové ztráty – </w:t>
      </w:r>
      <w:r w:rsidR="00AB0FE1">
        <w:rPr>
          <w:rFonts w:ascii="Comenia Serif" w:hAnsi="Comenia Serif" w:cs="Times New Roman"/>
          <w:sz w:val="20"/>
          <w:szCs w:val="20"/>
        </w:rPr>
        <w:t>1 113,</w:t>
      </w:r>
      <w:r w:rsidR="00AB0FE1" w:rsidRPr="00AB0FE1">
        <w:rPr>
          <w:rFonts w:ascii="Comenia Serif" w:hAnsi="Comenia Serif" w:cs="Times New Roman"/>
          <w:sz w:val="20"/>
          <w:szCs w:val="20"/>
        </w:rPr>
        <w:t>49 Kč</w:t>
      </w:r>
      <w:r w:rsidR="00200A4E">
        <w:rPr>
          <w:rFonts w:ascii="Comenia Serif" w:hAnsi="Comenia Serif" w:cs="Times New Roman"/>
          <w:sz w:val="20"/>
          <w:szCs w:val="20"/>
        </w:rPr>
        <w:t>.</w:t>
      </w:r>
    </w:p>
    <w:p w14:paraId="49166A68" w14:textId="22459F63" w:rsidR="0085721A" w:rsidRPr="0085721A" w:rsidRDefault="0085721A" w:rsidP="0085721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>
        <w:rPr>
          <w:rFonts w:ascii="Comenia Serif" w:hAnsi="Comenia Serif" w:cs="Times New Roman"/>
          <w:sz w:val="20"/>
          <w:szCs w:val="20"/>
        </w:rPr>
        <w:t xml:space="preserve">Bankovní poplatky – </w:t>
      </w:r>
      <w:r w:rsidR="00AB0FE1" w:rsidRPr="00AB0FE1">
        <w:rPr>
          <w:rFonts w:ascii="Comenia Serif" w:hAnsi="Comenia Serif" w:cs="Times New Roman"/>
          <w:sz w:val="20"/>
          <w:szCs w:val="20"/>
        </w:rPr>
        <w:t>737</w:t>
      </w:r>
      <w:r w:rsidR="00AB0FE1">
        <w:rPr>
          <w:rFonts w:ascii="Comenia Serif" w:hAnsi="Comenia Serif" w:cs="Times New Roman"/>
          <w:sz w:val="20"/>
          <w:szCs w:val="20"/>
        </w:rPr>
        <w:t>,</w:t>
      </w:r>
      <w:r w:rsidR="00AB0FE1" w:rsidRPr="00AB0FE1">
        <w:rPr>
          <w:rFonts w:ascii="Comenia Serif" w:hAnsi="Comenia Serif" w:cs="Times New Roman"/>
          <w:sz w:val="20"/>
          <w:szCs w:val="20"/>
        </w:rPr>
        <w:t>24 Kč</w:t>
      </w:r>
      <w:r w:rsidR="00200A4E">
        <w:rPr>
          <w:rFonts w:ascii="Comenia Serif" w:hAnsi="Comenia Serif" w:cs="Times New Roman"/>
          <w:sz w:val="20"/>
          <w:szCs w:val="20"/>
        </w:rPr>
        <w:t>.</w:t>
      </w:r>
    </w:p>
    <w:p w14:paraId="13A3EA80" w14:textId="41A7759A" w:rsidR="00ED12AF" w:rsidRDefault="00ED12AF">
      <w:pPr>
        <w:spacing w:after="200" w:line="276" w:lineRule="auto"/>
        <w:rPr>
          <w:rFonts w:ascii="Comenia Serif" w:hAnsi="Comenia Serif"/>
          <w:b/>
          <w:sz w:val="20"/>
          <w:szCs w:val="20"/>
        </w:rPr>
      </w:pPr>
    </w:p>
    <w:p w14:paraId="5A54D386" w14:textId="0343A5C8" w:rsidR="005E7ABB" w:rsidRPr="005E7ABB" w:rsidRDefault="004B4F42" w:rsidP="005E7ABB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Splnění cílů řešení a přínos projektu</w:t>
      </w:r>
    </w:p>
    <w:p w14:paraId="30E3A608" w14:textId="77777777" w:rsidR="00BE0057" w:rsidRDefault="005E7ABB" w:rsidP="00794868">
      <w:pPr>
        <w:pStyle w:val="NormlnComenia"/>
        <w:rPr>
          <w:rStyle w:val="NormlnComeniaChar"/>
        </w:rPr>
      </w:pPr>
      <w:r w:rsidRPr="00794868">
        <w:rPr>
          <w:rStyle w:val="NormlnComeniaChar"/>
        </w:rPr>
        <w:t>Cílem projektu byla podpora vývoje modelů a systémů a zajištění softwarového zázemí, které je</w:t>
      </w:r>
      <w:r w:rsidR="000932DE" w:rsidRPr="00794868">
        <w:rPr>
          <w:rStyle w:val="NormlnComeniaChar"/>
        </w:rPr>
        <w:t xml:space="preserve"> nezbytné</w:t>
      </w:r>
      <w:r w:rsidRPr="00794868">
        <w:rPr>
          <w:rStyle w:val="NormlnComeniaChar"/>
        </w:rPr>
        <w:t xml:space="preserve"> pro pokračování </w:t>
      </w:r>
      <w:r w:rsidR="000932DE" w:rsidRPr="00794868">
        <w:rPr>
          <w:rStyle w:val="NormlnComeniaChar"/>
        </w:rPr>
        <w:t xml:space="preserve">těchto aktivit na fakultě. </w:t>
      </w:r>
      <w:r w:rsidR="00BE0057">
        <w:rPr>
          <w:rStyle w:val="NormlnComeniaChar"/>
        </w:rPr>
        <w:t>Tento cíl byl splněn.</w:t>
      </w:r>
      <w:r w:rsidR="00316C2C">
        <w:rPr>
          <w:rStyle w:val="NormlnComeniaChar"/>
        </w:rPr>
        <w:t xml:space="preserve"> </w:t>
      </w:r>
    </w:p>
    <w:p w14:paraId="6C32E593" w14:textId="6A919106" w:rsidR="005E7ABB" w:rsidRDefault="003C57FA" w:rsidP="00794868">
      <w:pPr>
        <w:pStyle w:val="NormlnComenia"/>
        <w:rPr>
          <w:b/>
        </w:rPr>
      </w:pPr>
      <w:r>
        <w:rPr>
          <w:rStyle w:val="NormlnComeniaChar"/>
        </w:rPr>
        <w:t xml:space="preserve">Původní plán publikovat 2 konferenční a 2 časopisecké články byl i přes </w:t>
      </w:r>
      <w:r w:rsidR="002F4241">
        <w:rPr>
          <w:rStyle w:val="NormlnComeniaChar"/>
        </w:rPr>
        <w:t xml:space="preserve">výrazné </w:t>
      </w:r>
      <w:r>
        <w:rPr>
          <w:rStyle w:val="NormlnComeniaChar"/>
        </w:rPr>
        <w:t>krácení</w:t>
      </w:r>
      <w:r w:rsidR="002F4241">
        <w:rPr>
          <w:rStyle w:val="NormlnComeniaChar"/>
        </w:rPr>
        <w:t xml:space="preserve"> rozpočtu</w:t>
      </w:r>
      <w:r>
        <w:rPr>
          <w:rStyle w:val="NormlnComeniaChar"/>
        </w:rPr>
        <w:t xml:space="preserve"> nakonec </w:t>
      </w:r>
      <w:r w:rsidR="002F4241">
        <w:rPr>
          <w:rStyle w:val="NormlnComeniaChar"/>
        </w:rPr>
        <w:t xml:space="preserve">naplněn a </w:t>
      </w:r>
      <w:r>
        <w:rPr>
          <w:rStyle w:val="NormlnComeniaChar"/>
        </w:rPr>
        <w:t xml:space="preserve">podařilo vygenerovat </w:t>
      </w:r>
      <w:r w:rsidR="002F4241">
        <w:rPr>
          <w:rStyle w:val="NormlnComeniaChar"/>
        </w:rPr>
        <w:t>3 konferenční a 3 časopisecké články</w:t>
      </w:r>
      <w:r>
        <w:rPr>
          <w:rStyle w:val="NormlnComeniaChar"/>
        </w:rPr>
        <w:t>.</w:t>
      </w:r>
      <w:r w:rsidR="002F4241">
        <w:rPr>
          <w:rStyle w:val="NormlnComeniaChar"/>
        </w:rPr>
        <w:t xml:space="preserve"> Všechny 3 časopisecké články jsou v publikacích s nenulovým impakt faktorem. Požadovaný minimální počet 140 FIM bodů byl tak</w:t>
      </w:r>
      <w:r w:rsidR="004B2ABC">
        <w:rPr>
          <w:rStyle w:val="NormlnComeniaChar"/>
        </w:rPr>
        <w:t xml:space="preserve"> splněn a výrazně</w:t>
      </w:r>
      <w:r w:rsidR="002F4241">
        <w:rPr>
          <w:rStyle w:val="NormlnComeniaChar"/>
        </w:rPr>
        <w:t xml:space="preserve"> překročen s celkovými 249 FIM body.</w:t>
      </w:r>
    </w:p>
    <w:p w14:paraId="553BA4EC" w14:textId="0049F3B1" w:rsidR="005E7ABB" w:rsidRDefault="005E7ABB" w:rsidP="00F02BE3">
      <w:pPr>
        <w:rPr>
          <w:rFonts w:ascii="Comenia Serif" w:hAnsi="Comenia Serif"/>
          <w:b/>
          <w:sz w:val="20"/>
          <w:szCs w:val="20"/>
        </w:rPr>
      </w:pPr>
    </w:p>
    <w:p w14:paraId="30168580" w14:textId="6B0C3BD1" w:rsidR="00D96EEC" w:rsidRDefault="00D96EEC" w:rsidP="00F02BE3">
      <w:pPr>
        <w:rPr>
          <w:rFonts w:ascii="Comenia Serif" w:hAnsi="Comenia Serif"/>
          <w:b/>
          <w:sz w:val="20"/>
          <w:szCs w:val="20"/>
        </w:rPr>
      </w:pPr>
    </w:p>
    <w:p w14:paraId="4F5FB19E" w14:textId="77777777" w:rsidR="00D96EEC" w:rsidRDefault="00D96EEC" w:rsidP="00F02BE3">
      <w:pPr>
        <w:rPr>
          <w:rFonts w:ascii="Comenia Serif" w:hAnsi="Comenia Serif"/>
          <w:b/>
          <w:sz w:val="20"/>
          <w:szCs w:val="20"/>
        </w:rPr>
      </w:pPr>
    </w:p>
    <w:p w14:paraId="162166B2" w14:textId="55B0F23D" w:rsidR="003655D4" w:rsidRPr="009A4E33" w:rsidRDefault="003655D4" w:rsidP="003655D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Kontrolovatelné výsledky řešení </w:t>
      </w:r>
    </w:p>
    <w:p w14:paraId="4883E913" w14:textId="39E9BD07" w:rsidR="00117383" w:rsidRDefault="00117383" w:rsidP="003655D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Mkatabulky"/>
        <w:tblW w:w="4997" w:type="pct"/>
        <w:tblLayout w:type="fixed"/>
        <w:tblLook w:val="04A0" w:firstRow="1" w:lastRow="0" w:firstColumn="1" w:lastColumn="0" w:noHBand="0" w:noVBand="1"/>
      </w:tblPr>
      <w:tblGrid>
        <w:gridCol w:w="2380"/>
        <w:gridCol w:w="1131"/>
        <w:gridCol w:w="1132"/>
        <w:gridCol w:w="707"/>
        <w:gridCol w:w="423"/>
        <w:gridCol w:w="572"/>
        <w:gridCol w:w="566"/>
        <w:gridCol w:w="856"/>
        <w:gridCol w:w="1515"/>
      </w:tblGrid>
      <w:tr w:rsidR="0039785C" w:rsidRPr="00117383" w14:paraId="26FC4D88" w14:textId="77777777" w:rsidTr="00D96EEC">
        <w:trPr>
          <w:trHeight w:val="138"/>
        </w:trPr>
        <w:tc>
          <w:tcPr>
            <w:tcW w:w="1282" w:type="pct"/>
            <w:tcBorders>
              <w:top w:val="nil"/>
              <w:left w:val="nil"/>
            </w:tcBorders>
            <w:hideMark/>
          </w:tcPr>
          <w:p w14:paraId="6744C666" w14:textId="77777777" w:rsidR="00117383" w:rsidRPr="00117383" w:rsidRDefault="00117383" w:rsidP="002242F5">
            <w:pPr>
              <w:pStyle w:val="Default"/>
              <w:ind w:right="-106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Název článku</w:t>
            </w:r>
          </w:p>
        </w:tc>
        <w:tc>
          <w:tcPr>
            <w:tcW w:w="609" w:type="pct"/>
            <w:tcBorders>
              <w:top w:val="nil"/>
            </w:tcBorders>
            <w:hideMark/>
          </w:tcPr>
          <w:p w14:paraId="547C2C51" w14:textId="77777777" w:rsidR="00117383" w:rsidRPr="00117383" w:rsidRDefault="00117383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Autoři</w:t>
            </w:r>
          </w:p>
        </w:tc>
        <w:tc>
          <w:tcPr>
            <w:tcW w:w="610" w:type="pct"/>
            <w:tcBorders>
              <w:top w:val="nil"/>
            </w:tcBorders>
            <w:hideMark/>
          </w:tcPr>
          <w:p w14:paraId="3ABD0388" w14:textId="0FBCFA4F" w:rsidR="00117383" w:rsidRPr="00117383" w:rsidRDefault="00117383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Název časopisu /konference</w:t>
            </w:r>
          </w:p>
        </w:tc>
        <w:tc>
          <w:tcPr>
            <w:tcW w:w="381" w:type="pct"/>
            <w:tcBorders>
              <w:top w:val="nil"/>
            </w:tcBorders>
            <w:hideMark/>
          </w:tcPr>
          <w:p w14:paraId="003D45A9" w14:textId="2DD7E8D4" w:rsidR="00117383" w:rsidRPr="00117383" w:rsidRDefault="00117383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Typ</w:t>
            </w:r>
            <w:r w:rsidR="00316C2C">
              <w:rPr>
                <w:rFonts w:ascii="Comenia Serif" w:hAnsi="Comenia Serif"/>
                <w:sz w:val="16"/>
                <w:szCs w:val="16"/>
              </w:rPr>
              <w:t xml:space="preserve"> výstupu</w:t>
            </w:r>
          </w:p>
        </w:tc>
        <w:tc>
          <w:tcPr>
            <w:tcW w:w="228" w:type="pct"/>
            <w:tcBorders>
              <w:top w:val="nil"/>
            </w:tcBorders>
            <w:hideMark/>
          </w:tcPr>
          <w:p w14:paraId="49A62249" w14:textId="4E5BA294" w:rsidR="00117383" w:rsidRPr="00117383" w:rsidRDefault="00117383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Max FIM</w:t>
            </w:r>
          </w:p>
        </w:tc>
        <w:tc>
          <w:tcPr>
            <w:tcW w:w="308" w:type="pct"/>
            <w:tcBorders>
              <w:top w:val="nil"/>
            </w:tcBorders>
            <w:hideMark/>
          </w:tcPr>
          <w:p w14:paraId="057E25B6" w14:textId="77777777" w:rsidR="00117383" w:rsidRPr="00117383" w:rsidRDefault="00117383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 xml:space="preserve">Podíl </w:t>
            </w:r>
            <w:proofErr w:type="spellStart"/>
            <w:r w:rsidRPr="00117383">
              <w:rPr>
                <w:rFonts w:ascii="Comenia Serif" w:hAnsi="Comenia Serif"/>
                <w:sz w:val="16"/>
                <w:szCs w:val="16"/>
              </w:rPr>
              <w:t>proj</w:t>
            </w:r>
            <w:proofErr w:type="spellEnd"/>
            <w:r w:rsidRPr="00117383">
              <w:rPr>
                <w:rFonts w:ascii="Comenia Serif" w:hAnsi="Comenia Serif"/>
                <w:sz w:val="16"/>
                <w:szCs w:val="16"/>
              </w:rPr>
              <w:t>.</w:t>
            </w:r>
          </w:p>
        </w:tc>
        <w:tc>
          <w:tcPr>
            <w:tcW w:w="305" w:type="pct"/>
            <w:tcBorders>
              <w:top w:val="nil"/>
            </w:tcBorders>
            <w:hideMark/>
          </w:tcPr>
          <w:p w14:paraId="53797B27" w14:textId="77777777" w:rsidR="00117383" w:rsidRPr="00117383" w:rsidRDefault="00117383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FIM bodů</w:t>
            </w:r>
          </w:p>
        </w:tc>
        <w:tc>
          <w:tcPr>
            <w:tcW w:w="461" w:type="pct"/>
            <w:tcBorders>
              <w:top w:val="nil"/>
            </w:tcBorders>
            <w:hideMark/>
          </w:tcPr>
          <w:p w14:paraId="76765E4E" w14:textId="77777777" w:rsidR="00117383" w:rsidRPr="00117383" w:rsidRDefault="00117383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Stav</w:t>
            </w:r>
          </w:p>
        </w:tc>
        <w:tc>
          <w:tcPr>
            <w:tcW w:w="816" w:type="pct"/>
            <w:tcBorders>
              <w:top w:val="nil"/>
            </w:tcBorders>
            <w:hideMark/>
          </w:tcPr>
          <w:p w14:paraId="360CE00E" w14:textId="77777777" w:rsidR="00117383" w:rsidRPr="00117383" w:rsidRDefault="00117383" w:rsidP="00117383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Odkaz</w:t>
            </w:r>
          </w:p>
        </w:tc>
      </w:tr>
      <w:tr w:rsidR="0039785C" w:rsidRPr="00117383" w14:paraId="016B8CCF" w14:textId="77777777" w:rsidTr="00D96EEC">
        <w:trPr>
          <w:trHeight w:val="258"/>
        </w:trPr>
        <w:tc>
          <w:tcPr>
            <w:tcW w:w="1282" w:type="pct"/>
            <w:tcBorders>
              <w:left w:val="nil"/>
            </w:tcBorders>
            <w:hideMark/>
          </w:tcPr>
          <w:p w14:paraId="38372915" w14:textId="3DD0583D" w:rsidR="00117383" w:rsidRPr="00117383" w:rsidRDefault="002F4241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Mistakes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in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System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Dynamics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Models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: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An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Educational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Issues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from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the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Systems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Engineering</w:t>
            </w:r>
            <w:proofErr w:type="spellEnd"/>
            <w:r w:rsidRPr="002F4241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Perspective</w:t>
            </w:r>
            <w:proofErr w:type="spellEnd"/>
          </w:p>
        </w:tc>
        <w:tc>
          <w:tcPr>
            <w:tcW w:w="609" w:type="pct"/>
            <w:hideMark/>
          </w:tcPr>
          <w:p w14:paraId="372FD9D4" w14:textId="3BDE828F" w:rsidR="00117383" w:rsidRPr="00117383" w:rsidRDefault="002F4241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2F4241">
              <w:rPr>
                <w:rFonts w:ascii="Comenia Serif" w:hAnsi="Comenia Serif"/>
                <w:sz w:val="16"/>
                <w:szCs w:val="16"/>
              </w:rPr>
              <w:t xml:space="preserve">Bureš, Otčenášková, </w:t>
            </w: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Zanker</w:t>
            </w:r>
            <w:proofErr w:type="spellEnd"/>
          </w:p>
        </w:tc>
        <w:tc>
          <w:tcPr>
            <w:tcW w:w="610" w:type="pct"/>
            <w:hideMark/>
          </w:tcPr>
          <w:p w14:paraId="41C473A1" w14:textId="0E84F4D6" w:rsidR="00117383" w:rsidRPr="00117383" w:rsidRDefault="002F4241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r w:rsidRPr="002F4241">
              <w:rPr>
                <w:rFonts w:ascii="Comenia Serif" w:hAnsi="Comenia Serif"/>
                <w:sz w:val="16"/>
                <w:szCs w:val="16"/>
              </w:rPr>
              <w:t>IEOM 2019</w:t>
            </w:r>
          </w:p>
        </w:tc>
        <w:tc>
          <w:tcPr>
            <w:tcW w:w="381" w:type="pct"/>
            <w:hideMark/>
          </w:tcPr>
          <w:p w14:paraId="2894CA9F" w14:textId="44E24A00" w:rsidR="00117383" w:rsidRPr="00117383" w:rsidRDefault="002F4241" w:rsidP="00880134">
            <w:pPr>
              <w:pStyle w:val="Default"/>
              <w:ind w:left="-117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228" w:type="pct"/>
            <w:hideMark/>
          </w:tcPr>
          <w:p w14:paraId="6F2DF526" w14:textId="5AAD1B96" w:rsidR="00117383" w:rsidRPr="00117383" w:rsidRDefault="002F4241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4</w:t>
            </w:r>
          </w:p>
        </w:tc>
        <w:tc>
          <w:tcPr>
            <w:tcW w:w="308" w:type="pct"/>
            <w:hideMark/>
          </w:tcPr>
          <w:p w14:paraId="5122A645" w14:textId="77777777" w:rsidR="00117383" w:rsidRPr="00117383" w:rsidRDefault="00117383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100%</w:t>
            </w:r>
          </w:p>
        </w:tc>
        <w:tc>
          <w:tcPr>
            <w:tcW w:w="305" w:type="pct"/>
            <w:hideMark/>
          </w:tcPr>
          <w:p w14:paraId="39517B76" w14:textId="3E08305F" w:rsidR="00117383" w:rsidRPr="00117383" w:rsidRDefault="00117383" w:rsidP="002F4241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4</w:t>
            </w:r>
          </w:p>
        </w:tc>
        <w:tc>
          <w:tcPr>
            <w:tcW w:w="461" w:type="pct"/>
            <w:hideMark/>
          </w:tcPr>
          <w:p w14:paraId="05FA21E8" w14:textId="77777777" w:rsidR="00117383" w:rsidRPr="00117383" w:rsidRDefault="00117383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Uložené v OBD</w:t>
            </w:r>
          </w:p>
        </w:tc>
        <w:tc>
          <w:tcPr>
            <w:tcW w:w="816" w:type="pct"/>
          </w:tcPr>
          <w:p w14:paraId="67F3720F" w14:textId="6FDB6104" w:rsidR="00117383" w:rsidRPr="00117383" w:rsidRDefault="00956161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6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http://ieomsociety.org/pilsen2019/papers/388.pdf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39785C" w:rsidRPr="00117383" w14:paraId="4649D9E5" w14:textId="77777777" w:rsidTr="00D96EEC">
        <w:trPr>
          <w:trHeight w:val="423"/>
        </w:trPr>
        <w:tc>
          <w:tcPr>
            <w:tcW w:w="1282" w:type="pct"/>
            <w:tcBorders>
              <w:left w:val="nil"/>
            </w:tcBorders>
          </w:tcPr>
          <w:p w14:paraId="16058F22" w14:textId="283DF221" w:rsidR="00117383" w:rsidRPr="00117383" w:rsidRDefault="0039785C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The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effect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of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trial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repetition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and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problem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size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on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the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consistency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of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decision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making</w:t>
            </w:r>
            <w:proofErr w:type="spellEnd"/>
          </w:p>
        </w:tc>
        <w:tc>
          <w:tcPr>
            <w:tcW w:w="609" w:type="pct"/>
          </w:tcPr>
          <w:p w14:paraId="6E50CC17" w14:textId="2DB4FAB9" w:rsidR="00117383" w:rsidRPr="00117383" w:rsidRDefault="0039785C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 xml:space="preserve">Bureš,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Ponce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>, Čech, Mls</w:t>
            </w:r>
          </w:p>
        </w:tc>
        <w:tc>
          <w:tcPr>
            <w:tcW w:w="610" w:type="pct"/>
          </w:tcPr>
          <w:p w14:paraId="2CB2714D" w14:textId="6E8968AF" w:rsidR="00117383" w:rsidRPr="00117383" w:rsidRDefault="0039785C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 xml:space="preserve">Plos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381" w:type="pct"/>
          </w:tcPr>
          <w:p w14:paraId="54B1583C" w14:textId="48002E39" w:rsidR="00117383" w:rsidRPr="00117383" w:rsidRDefault="0039785C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>
              <w:rPr>
                <w:rFonts w:ascii="Comenia Serif" w:hAnsi="Comenia Serif"/>
                <w:sz w:val="16"/>
                <w:szCs w:val="16"/>
              </w:rPr>
              <w:t>Jimp</w:t>
            </w:r>
            <w:proofErr w:type="spellEnd"/>
            <w:r>
              <w:rPr>
                <w:rFonts w:ascii="Comenia Serif" w:hAnsi="Comenia Serif"/>
                <w:sz w:val="16"/>
                <w:szCs w:val="16"/>
              </w:rPr>
              <w:t xml:space="preserve"> Q1</w:t>
            </w:r>
          </w:p>
        </w:tc>
        <w:tc>
          <w:tcPr>
            <w:tcW w:w="228" w:type="pct"/>
          </w:tcPr>
          <w:p w14:paraId="3292D7A8" w14:textId="464CD336" w:rsidR="00117383" w:rsidRPr="00117383" w:rsidRDefault="0039785C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187</w:t>
            </w:r>
          </w:p>
        </w:tc>
        <w:tc>
          <w:tcPr>
            <w:tcW w:w="308" w:type="pct"/>
          </w:tcPr>
          <w:p w14:paraId="4668040C" w14:textId="2464A8C9" w:rsidR="00117383" w:rsidRPr="00117383" w:rsidRDefault="0039785C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50%</w:t>
            </w:r>
          </w:p>
        </w:tc>
        <w:tc>
          <w:tcPr>
            <w:tcW w:w="305" w:type="pct"/>
          </w:tcPr>
          <w:p w14:paraId="1F702D28" w14:textId="44F41966" w:rsidR="00117383" w:rsidRPr="00117383" w:rsidRDefault="0039785C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93,5</w:t>
            </w:r>
          </w:p>
        </w:tc>
        <w:tc>
          <w:tcPr>
            <w:tcW w:w="461" w:type="pct"/>
            <w:hideMark/>
          </w:tcPr>
          <w:p w14:paraId="2D81277B" w14:textId="19A2BC4D" w:rsidR="00117383" w:rsidRPr="00117383" w:rsidRDefault="002F4241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Přijaté v OBD</w:t>
            </w:r>
          </w:p>
        </w:tc>
        <w:tc>
          <w:tcPr>
            <w:tcW w:w="816" w:type="pct"/>
          </w:tcPr>
          <w:p w14:paraId="4ED46C41" w14:textId="175CA6DB" w:rsidR="00117383" w:rsidRPr="00117383" w:rsidRDefault="00956161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7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https://journals.plos.org/plosone/article?id=10.1371/journal.pone.0216235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39785C" w:rsidRPr="00117383" w14:paraId="68C4E7D0" w14:textId="77777777" w:rsidTr="00D96EEC">
        <w:trPr>
          <w:trHeight w:val="138"/>
        </w:trPr>
        <w:tc>
          <w:tcPr>
            <w:tcW w:w="1282" w:type="pct"/>
            <w:tcBorders>
              <w:left w:val="nil"/>
            </w:tcBorders>
          </w:tcPr>
          <w:p w14:paraId="27059B38" w14:textId="01A79A59" w:rsidR="0039785C" w:rsidRPr="0039785C" w:rsidRDefault="0039785C" w:rsidP="0039785C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Bottom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-up Modelling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Approach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and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Mesoscopic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Simulations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in</w:t>
            </w:r>
          </w:p>
          <w:p w14:paraId="1A390FB1" w14:textId="15D90AB9" w:rsidR="00117383" w:rsidRPr="00117383" w:rsidRDefault="0039785C" w:rsidP="0039785C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Traffic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System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Dynamics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Models</w:t>
            </w:r>
            <w:proofErr w:type="spellEnd"/>
          </w:p>
        </w:tc>
        <w:tc>
          <w:tcPr>
            <w:tcW w:w="609" w:type="pct"/>
          </w:tcPr>
          <w:p w14:paraId="1A1BC98D" w14:textId="14A3F28B" w:rsidR="00117383" w:rsidRPr="00117383" w:rsidRDefault="0039785C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 xml:space="preserve">Bureš, Režný,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Zanker</w:t>
            </w:r>
            <w:proofErr w:type="spellEnd"/>
          </w:p>
        </w:tc>
        <w:tc>
          <w:tcPr>
            <w:tcW w:w="610" w:type="pct"/>
          </w:tcPr>
          <w:p w14:paraId="370FEE4E" w14:textId="0B3DD6A5" w:rsidR="00117383" w:rsidRPr="00117383" w:rsidRDefault="0039785C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Simulation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: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Transactions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of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the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Society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for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Modeling and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Simulation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International</w:t>
            </w:r>
          </w:p>
        </w:tc>
        <w:tc>
          <w:tcPr>
            <w:tcW w:w="381" w:type="pct"/>
          </w:tcPr>
          <w:p w14:paraId="7935F622" w14:textId="415AE2C6" w:rsidR="00117383" w:rsidRPr="00117383" w:rsidRDefault="0039785C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>
              <w:rPr>
                <w:rFonts w:ascii="Comenia Serif" w:hAnsi="Comenia Serif"/>
                <w:sz w:val="16"/>
                <w:szCs w:val="16"/>
              </w:rPr>
              <w:t>Jimp</w:t>
            </w:r>
            <w:proofErr w:type="spellEnd"/>
            <w:r>
              <w:rPr>
                <w:rFonts w:ascii="Comenia Serif" w:hAnsi="Comenia Serif"/>
                <w:sz w:val="16"/>
                <w:szCs w:val="16"/>
              </w:rPr>
              <w:t xml:space="preserve"> Q3/4</w:t>
            </w:r>
          </w:p>
        </w:tc>
        <w:tc>
          <w:tcPr>
            <w:tcW w:w="228" w:type="pct"/>
          </w:tcPr>
          <w:p w14:paraId="2630615A" w14:textId="56BAAC35" w:rsidR="00117383" w:rsidRPr="00117383" w:rsidRDefault="0039785C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63</w:t>
            </w:r>
          </w:p>
        </w:tc>
        <w:tc>
          <w:tcPr>
            <w:tcW w:w="308" w:type="pct"/>
          </w:tcPr>
          <w:p w14:paraId="29137BDC" w14:textId="5B1F2CD4" w:rsidR="00117383" w:rsidRPr="00117383" w:rsidRDefault="0039785C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100%</w:t>
            </w:r>
          </w:p>
        </w:tc>
        <w:tc>
          <w:tcPr>
            <w:tcW w:w="305" w:type="pct"/>
          </w:tcPr>
          <w:p w14:paraId="6B83694E" w14:textId="526D44C5" w:rsidR="00117383" w:rsidRPr="00117383" w:rsidRDefault="0039785C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63</w:t>
            </w:r>
          </w:p>
        </w:tc>
        <w:tc>
          <w:tcPr>
            <w:tcW w:w="461" w:type="pct"/>
            <w:hideMark/>
          </w:tcPr>
          <w:p w14:paraId="2B6BD2FE" w14:textId="77777777" w:rsidR="00117383" w:rsidRPr="00117383" w:rsidRDefault="00117383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Přijaté v OBD</w:t>
            </w:r>
          </w:p>
        </w:tc>
        <w:tc>
          <w:tcPr>
            <w:tcW w:w="816" w:type="pct"/>
          </w:tcPr>
          <w:p w14:paraId="628A2546" w14:textId="132FFD74" w:rsidR="00117383" w:rsidRPr="00117383" w:rsidRDefault="00956161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8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https://journals.sagepub.com/doi/abs/10.1177/0037549719869989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39785C" w:rsidRPr="00117383" w14:paraId="026B65CC" w14:textId="77777777" w:rsidTr="00D96EEC">
        <w:trPr>
          <w:trHeight w:val="412"/>
        </w:trPr>
        <w:tc>
          <w:tcPr>
            <w:tcW w:w="1282" w:type="pct"/>
            <w:tcBorders>
              <w:left w:val="nil"/>
            </w:tcBorders>
          </w:tcPr>
          <w:p w14:paraId="6946DF54" w14:textId="52477125" w:rsidR="00117383" w:rsidRPr="00117383" w:rsidRDefault="0039785C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lastRenderedPageBreak/>
              <w:t>Decision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support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system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for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arrhythmia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prediction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using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convolutional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neural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network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structure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without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preprocessing</w:t>
            </w:r>
            <w:proofErr w:type="spellEnd"/>
          </w:p>
        </w:tc>
        <w:tc>
          <w:tcPr>
            <w:tcW w:w="609" w:type="pct"/>
          </w:tcPr>
          <w:p w14:paraId="5EF2833D" w14:textId="6D01CA06" w:rsidR="00117383" w:rsidRPr="00117383" w:rsidRDefault="0039785C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Fujita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,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Cimr</w:t>
            </w:r>
            <w:proofErr w:type="spellEnd"/>
          </w:p>
        </w:tc>
        <w:tc>
          <w:tcPr>
            <w:tcW w:w="610" w:type="pct"/>
          </w:tcPr>
          <w:p w14:paraId="18A1A051" w14:textId="1AD0D622" w:rsidR="00117383" w:rsidRPr="00117383" w:rsidRDefault="0039785C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Applied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Inteligence</w:t>
            </w:r>
          </w:p>
        </w:tc>
        <w:tc>
          <w:tcPr>
            <w:tcW w:w="381" w:type="pct"/>
          </w:tcPr>
          <w:p w14:paraId="0B8FFF26" w14:textId="429EAD50" w:rsidR="00117383" w:rsidRPr="00117383" w:rsidRDefault="0039785C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>
              <w:rPr>
                <w:rFonts w:ascii="Comenia Serif" w:hAnsi="Comenia Serif"/>
                <w:sz w:val="16"/>
                <w:szCs w:val="16"/>
              </w:rPr>
              <w:t>Jimp</w:t>
            </w:r>
            <w:proofErr w:type="spellEnd"/>
            <w:r>
              <w:rPr>
                <w:rFonts w:ascii="Comenia Serif" w:hAnsi="Comenia Serif"/>
                <w:sz w:val="16"/>
                <w:szCs w:val="16"/>
              </w:rPr>
              <w:t xml:space="preserve"> Q2</w:t>
            </w:r>
          </w:p>
        </w:tc>
        <w:tc>
          <w:tcPr>
            <w:tcW w:w="228" w:type="pct"/>
          </w:tcPr>
          <w:p w14:paraId="2E3BFF5E" w14:textId="22F179C3" w:rsidR="00117383" w:rsidRPr="00117383" w:rsidRDefault="0039785C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129</w:t>
            </w:r>
          </w:p>
        </w:tc>
        <w:tc>
          <w:tcPr>
            <w:tcW w:w="308" w:type="pct"/>
          </w:tcPr>
          <w:p w14:paraId="4EC07338" w14:textId="44ABECDA" w:rsidR="00117383" w:rsidRPr="00117383" w:rsidRDefault="0039785C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50%</w:t>
            </w:r>
          </w:p>
        </w:tc>
        <w:tc>
          <w:tcPr>
            <w:tcW w:w="305" w:type="pct"/>
          </w:tcPr>
          <w:p w14:paraId="4810FC6A" w14:textId="301A88A8" w:rsidR="00117383" w:rsidRPr="00117383" w:rsidRDefault="0039785C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64,5</w:t>
            </w:r>
          </w:p>
        </w:tc>
        <w:tc>
          <w:tcPr>
            <w:tcW w:w="461" w:type="pct"/>
            <w:hideMark/>
          </w:tcPr>
          <w:p w14:paraId="4EB05CE0" w14:textId="77777777" w:rsidR="00117383" w:rsidRPr="00117383" w:rsidRDefault="00117383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Přijaté v OBD</w:t>
            </w:r>
          </w:p>
        </w:tc>
        <w:tc>
          <w:tcPr>
            <w:tcW w:w="816" w:type="pct"/>
          </w:tcPr>
          <w:p w14:paraId="5EE7EC91" w14:textId="4E45D90D" w:rsidR="00117383" w:rsidRPr="00117383" w:rsidRDefault="00956161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9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https://link.springer.com/article/10.1007/s10489-019-01461-0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39785C" w:rsidRPr="00117383" w14:paraId="26B2BD2D" w14:textId="77777777" w:rsidTr="00D96EEC">
        <w:trPr>
          <w:trHeight w:val="425"/>
        </w:trPr>
        <w:tc>
          <w:tcPr>
            <w:tcW w:w="1282" w:type="pct"/>
            <w:tcBorders>
              <w:left w:val="nil"/>
            </w:tcBorders>
          </w:tcPr>
          <w:p w14:paraId="6D2D04E5" w14:textId="7077FC33" w:rsidR="00117383" w:rsidRPr="00117383" w:rsidRDefault="0039785C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Learning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by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Doing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in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Medicine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: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Solution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and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Configuration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of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Virtual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Medical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Cases</w:t>
            </w:r>
            <w:proofErr w:type="spellEnd"/>
          </w:p>
        </w:tc>
        <w:tc>
          <w:tcPr>
            <w:tcW w:w="609" w:type="pct"/>
          </w:tcPr>
          <w:p w14:paraId="7321B176" w14:textId="0F3E1B0F" w:rsidR="00117383" w:rsidRPr="00117383" w:rsidRDefault="0039785C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 xml:space="preserve">Bureš, Čech, Husáková, Kříž, Krylová, Nacházel,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Ponce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, Poulová, Tachecí,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Tučník</w:t>
            </w:r>
            <w:proofErr w:type="spellEnd"/>
          </w:p>
        </w:tc>
        <w:tc>
          <w:tcPr>
            <w:tcW w:w="610" w:type="pct"/>
          </w:tcPr>
          <w:p w14:paraId="6EA1FEC4" w14:textId="43B2BB88" w:rsidR="00117383" w:rsidRPr="00117383" w:rsidRDefault="0039785C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>ISET 2019</w:t>
            </w:r>
          </w:p>
        </w:tc>
        <w:tc>
          <w:tcPr>
            <w:tcW w:w="381" w:type="pct"/>
          </w:tcPr>
          <w:p w14:paraId="57B78BA1" w14:textId="6622AEC8" w:rsidR="00117383" w:rsidRPr="00117383" w:rsidRDefault="0039785C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proofErr w:type="spellStart"/>
            <w:r w:rsidRPr="002F4241">
              <w:rPr>
                <w:rFonts w:ascii="Comenia Serif" w:hAnsi="Comenia Serif"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228" w:type="pct"/>
          </w:tcPr>
          <w:p w14:paraId="37748504" w14:textId="3F9402AC" w:rsidR="00117383" w:rsidRPr="00117383" w:rsidRDefault="0039785C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4</w:t>
            </w:r>
          </w:p>
        </w:tc>
        <w:tc>
          <w:tcPr>
            <w:tcW w:w="308" w:type="pct"/>
          </w:tcPr>
          <w:p w14:paraId="0C1FC904" w14:textId="5607A27F" w:rsidR="00117383" w:rsidRPr="00117383" w:rsidRDefault="0039785C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100%</w:t>
            </w:r>
          </w:p>
        </w:tc>
        <w:tc>
          <w:tcPr>
            <w:tcW w:w="305" w:type="pct"/>
          </w:tcPr>
          <w:p w14:paraId="3A6F5AC5" w14:textId="2C374EA3" w:rsidR="00117383" w:rsidRPr="00117383" w:rsidRDefault="0039785C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4</w:t>
            </w:r>
          </w:p>
        </w:tc>
        <w:tc>
          <w:tcPr>
            <w:tcW w:w="461" w:type="pct"/>
            <w:hideMark/>
          </w:tcPr>
          <w:p w14:paraId="5CFA19DF" w14:textId="77777777" w:rsidR="00117383" w:rsidRPr="00117383" w:rsidRDefault="00117383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Přijaté v OBD</w:t>
            </w:r>
          </w:p>
        </w:tc>
        <w:tc>
          <w:tcPr>
            <w:tcW w:w="816" w:type="pct"/>
          </w:tcPr>
          <w:p w14:paraId="01BF65D8" w14:textId="7D2E9EFD" w:rsidR="00117383" w:rsidRPr="00117383" w:rsidRDefault="00956161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10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https://ieeexplore.ieee.org/document/8782273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39785C" w:rsidRPr="00117383" w14:paraId="15A6C48F" w14:textId="77777777" w:rsidTr="00D96EEC">
        <w:trPr>
          <w:trHeight w:val="693"/>
        </w:trPr>
        <w:tc>
          <w:tcPr>
            <w:tcW w:w="1282" w:type="pct"/>
            <w:tcBorders>
              <w:left w:val="nil"/>
              <w:bottom w:val="single" w:sz="4" w:space="0" w:color="auto"/>
            </w:tcBorders>
          </w:tcPr>
          <w:p w14:paraId="3210398C" w14:textId="74E66180" w:rsidR="00117383" w:rsidRPr="00117383" w:rsidRDefault="0039785C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>Ontology-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Based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Conceptualisation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of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Text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Mining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Practice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Areas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for</w:t>
            </w:r>
            <w:proofErr w:type="spellEnd"/>
            <w:r w:rsidRPr="0039785C">
              <w:rPr>
                <w:rFonts w:ascii="Comenia Serif" w:hAnsi="Comenia Serif"/>
                <w:sz w:val="16"/>
                <w:szCs w:val="16"/>
              </w:rPr>
              <w:t xml:space="preserve"> </w:t>
            </w:r>
            <w:proofErr w:type="spellStart"/>
            <w:r w:rsidRPr="0039785C">
              <w:rPr>
                <w:rFonts w:ascii="Comenia Serif" w:hAnsi="Comenia Serif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609" w:type="pct"/>
          </w:tcPr>
          <w:p w14:paraId="337C844E" w14:textId="05AF88E4" w:rsidR="00117383" w:rsidRPr="00117383" w:rsidRDefault="0039785C" w:rsidP="002242F5">
            <w:pPr>
              <w:pStyle w:val="Default"/>
              <w:ind w:left="-108" w:right="-103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>Husáková</w:t>
            </w:r>
          </w:p>
        </w:tc>
        <w:tc>
          <w:tcPr>
            <w:tcW w:w="610" w:type="pct"/>
          </w:tcPr>
          <w:p w14:paraId="4AEC7303" w14:textId="170A3215" w:rsidR="00117383" w:rsidRPr="00117383" w:rsidRDefault="0039785C" w:rsidP="002242F5">
            <w:pPr>
              <w:pStyle w:val="Default"/>
              <w:ind w:right="-107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>ICCCI 2019</w:t>
            </w:r>
          </w:p>
        </w:tc>
        <w:tc>
          <w:tcPr>
            <w:tcW w:w="381" w:type="pct"/>
          </w:tcPr>
          <w:p w14:paraId="6C050949" w14:textId="5234713C" w:rsidR="00117383" w:rsidRPr="00117383" w:rsidRDefault="0039785C" w:rsidP="00880134">
            <w:pPr>
              <w:pStyle w:val="Default"/>
              <w:ind w:left="-117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39785C">
              <w:rPr>
                <w:rFonts w:ascii="Comenia Serif" w:hAnsi="Comenia Serif"/>
                <w:sz w:val="16"/>
                <w:szCs w:val="16"/>
              </w:rPr>
              <w:t>LNAI</w:t>
            </w:r>
          </w:p>
        </w:tc>
        <w:tc>
          <w:tcPr>
            <w:tcW w:w="228" w:type="pct"/>
          </w:tcPr>
          <w:p w14:paraId="18423580" w14:textId="5B982591" w:rsidR="00117383" w:rsidRPr="00117383" w:rsidRDefault="0039785C" w:rsidP="002242F5">
            <w:pPr>
              <w:pStyle w:val="Default"/>
              <w:ind w:left="-122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20</w:t>
            </w:r>
          </w:p>
        </w:tc>
        <w:tc>
          <w:tcPr>
            <w:tcW w:w="308" w:type="pct"/>
          </w:tcPr>
          <w:p w14:paraId="3F0B2C44" w14:textId="7DF1C809" w:rsidR="00117383" w:rsidRPr="00117383" w:rsidRDefault="0039785C" w:rsidP="002242F5">
            <w:pPr>
              <w:pStyle w:val="Default"/>
              <w:ind w:left="-124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100%</w:t>
            </w:r>
          </w:p>
        </w:tc>
        <w:tc>
          <w:tcPr>
            <w:tcW w:w="305" w:type="pct"/>
          </w:tcPr>
          <w:p w14:paraId="2AAE1275" w14:textId="60D087FF" w:rsidR="00117383" w:rsidRPr="00117383" w:rsidRDefault="0039785C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20</w:t>
            </w:r>
          </w:p>
        </w:tc>
        <w:tc>
          <w:tcPr>
            <w:tcW w:w="461" w:type="pct"/>
            <w:hideMark/>
          </w:tcPr>
          <w:p w14:paraId="7306DF9A" w14:textId="056D8D61" w:rsidR="00117383" w:rsidRPr="00117383" w:rsidRDefault="0039785C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  <w:r w:rsidRPr="00117383">
              <w:rPr>
                <w:rFonts w:ascii="Comenia Serif" w:hAnsi="Comenia Serif"/>
                <w:sz w:val="16"/>
                <w:szCs w:val="16"/>
              </w:rPr>
              <w:t>Přijaté v OBD</w:t>
            </w:r>
          </w:p>
        </w:tc>
        <w:tc>
          <w:tcPr>
            <w:tcW w:w="816" w:type="pct"/>
          </w:tcPr>
          <w:p w14:paraId="69BD13A0" w14:textId="75EEED04" w:rsidR="00D23012" w:rsidRPr="00117383" w:rsidRDefault="00956161" w:rsidP="00D23012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  <w:u w:val="single"/>
              </w:rPr>
            </w:pPr>
            <w:hyperlink r:id="rId11" w:history="1">
              <w:r w:rsidR="00D23012" w:rsidRPr="0096674E">
                <w:rPr>
                  <w:rStyle w:val="Hypertextovodkaz"/>
                  <w:rFonts w:ascii="Comenia Serif" w:hAnsi="Comenia Serif"/>
                  <w:sz w:val="16"/>
                  <w:szCs w:val="16"/>
                </w:rPr>
                <w:t>https://link.springer.com/chapter/10.1007/978-3-030-28374-2_46</w:t>
              </w:r>
            </w:hyperlink>
            <w:r w:rsidR="00D23012">
              <w:rPr>
                <w:rFonts w:ascii="Comenia Serif" w:hAnsi="Comenia Serif"/>
                <w:sz w:val="16"/>
                <w:szCs w:val="16"/>
                <w:u w:val="single"/>
              </w:rPr>
              <w:t xml:space="preserve"> </w:t>
            </w:r>
          </w:p>
        </w:tc>
      </w:tr>
      <w:tr w:rsidR="002242F5" w:rsidRPr="00117383" w14:paraId="26A632D4" w14:textId="77777777" w:rsidTr="00D96EEC">
        <w:trPr>
          <w:trHeight w:val="213"/>
        </w:trPr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F56D9" w14:textId="77777777" w:rsidR="002242F5" w:rsidRPr="00117383" w:rsidRDefault="002242F5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2136" w:type="pct"/>
            <w:gridSpan w:val="5"/>
            <w:tcBorders>
              <w:left w:val="nil"/>
              <w:bottom w:val="nil"/>
              <w:right w:val="nil"/>
            </w:tcBorders>
            <w:hideMark/>
          </w:tcPr>
          <w:p w14:paraId="583CF461" w14:textId="566C8A49" w:rsidR="002242F5" w:rsidRPr="00117383" w:rsidRDefault="002F4241" w:rsidP="002F4241">
            <w:pPr>
              <w:pStyle w:val="Default"/>
              <w:ind w:right="-107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Celkem FIM bodů</w:t>
            </w:r>
            <w:r w:rsidR="002242F5">
              <w:rPr>
                <w:rFonts w:ascii="Comenia Serif" w:hAnsi="Comenia Serif"/>
                <w:sz w:val="16"/>
                <w:szCs w:val="16"/>
              </w:rPr>
              <w:t>: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hideMark/>
          </w:tcPr>
          <w:p w14:paraId="35780295" w14:textId="07183242" w:rsidR="002242F5" w:rsidRPr="00117383" w:rsidRDefault="0039785C" w:rsidP="0039785C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  <w:r>
              <w:rPr>
                <w:rFonts w:ascii="Comenia Serif" w:hAnsi="Comenia Serif"/>
                <w:sz w:val="16"/>
                <w:szCs w:val="16"/>
              </w:rPr>
              <w:t>249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hideMark/>
          </w:tcPr>
          <w:p w14:paraId="5807E3B2" w14:textId="77777777" w:rsidR="002242F5" w:rsidRPr="00117383" w:rsidRDefault="002242F5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hideMark/>
          </w:tcPr>
          <w:p w14:paraId="41B70E23" w14:textId="77777777" w:rsidR="002242F5" w:rsidRPr="00117383" w:rsidRDefault="002242F5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</w:rPr>
            </w:pPr>
          </w:p>
        </w:tc>
      </w:tr>
      <w:tr w:rsidR="002242F5" w:rsidRPr="00117383" w14:paraId="0CB9A1E1" w14:textId="77777777" w:rsidTr="00D96EEC">
        <w:trPr>
          <w:trHeight w:val="130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A7E3" w14:textId="77777777" w:rsidR="002242F5" w:rsidRPr="00117383" w:rsidRDefault="002242F5" w:rsidP="002242F5">
            <w:pPr>
              <w:pStyle w:val="Default"/>
              <w:ind w:right="-106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213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D2EFEF" w14:textId="70703916" w:rsidR="002242F5" w:rsidRPr="00117383" w:rsidRDefault="002242F5" w:rsidP="00880134">
            <w:pPr>
              <w:pStyle w:val="Default"/>
              <w:ind w:right="-107"/>
              <w:jc w:val="center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D4B66BC" w14:textId="1D01FDBF" w:rsidR="002242F5" w:rsidRPr="00117383" w:rsidRDefault="002242F5" w:rsidP="002242F5">
            <w:pPr>
              <w:pStyle w:val="Default"/>
              <w:jc w:val="center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B11C02" w14:textId="77777777" w:rsidR="002242F5" w:rsidRPr="00117383" w:rsidRDefault="002242F5" w:rsidP="002242F5">
            <w:pPr>
              <w:pStyle w:val="Default"/>
              <w:ind w:left="-108"/>
              <w:jc w:val="center"/>
              <w:rPr>
                <w:rFonts w:ascii="Comenia Serif" w:hAnsi="Comenia Serif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26CF" w14:textId="77777777" w:rsidR="002242F5" w:rsidRPr="00117383" w:rsidRDefault="002242F5" w:rsidP="00117383">
            <w:pPr>
              <w:pStyle w:val="Default"/>
              <w:ind w:left="-108"/>
              <w:rPr>
                <w:rFonts w:ascii="Comenia Serif" w:hAnsi="Comenia Serif"/>
                <w:sz w:val="16"/>
                <w:szCs w:val="16"/>
              </w:rPr>
            </w:pPr>
          </w:p>
        </w:tc>
      </w:tr>
    </w:tbl>
    <w:p w14:paraId="729073CB" w14:textId="77777777" w:rsidR="00956161" w:rsidRDefault="00956161" w:rsidP="003655D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74D65959" w14:textId="0F70B9B1" w:rsidR="003655D4" w:rsidRPr="009A4E33" w:rsidRDefault="003655D4" w:rsidP="003655D4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Výsledky publikační činnosti v</w:t>
      </w:r>
      <w:r w:rsidRPr="009A4E33">
        <w:rPr>
          <w:b/>
          <w:sz w:val="20"/>
          <w:szCs w:val="20"/>
        </w:rPr>
        <w:t> </w:t>
      </w:r>
      <w:r w:rsidRPr="009A4E33">
        <w:rPr>
          <w:rFonts w:ascii="Comenia Serif" w:hAnsi="Comenia Serif"/>
          <w:b/>
          <w:sz w:val="20"/>
          <w:szCs w:val="20"/>
        </w:rPr>
        <w:t>OBD</w:t>
      </w:r>
    </w:p>
    <w:p w14:paraId="3B7C8B19" w14:textId="53781F6C" w:rsidR="003655D4" w:rsidRPr="009A4E33" w:rsidRDefault="003655D4" w:rsidP="003655D4">
      <w:pPr>
        <w:pStyle w:val="Default"/>
        <w:numPr>
          <w:ilvl w:val="0"/>
          <w:numId w:val="10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 uvedením počtu výsledků, které budou předkládány jako výsledky studentských projektů do </w:t>
      </w:r>
      <w:proofErr w:type="spellStart"/>
      <w:r w:rsidRPr="009A4E33">
        <w:rPr>
          <w:rFonts w:ascii="Comenia Serif" w:hAnsi="Comenia Serif"/>
          <w:sz w:val="20"/>
          <w:szCs w:val="20"/>
        </w:rPr>
        <w:t>RIVu</w:t>
      </w:r>
      <w:proofErr w:type="spellEnd"/>
      <w:r w:rsidRPr="009A4E33">
        <w:rPr>
          <w:rFonts w:ascii="Comenia Serif" w:hAnsi="Comenia Serif"/>
          <w:sz w:val="20"/>
          <w:szCs w:val="20"/>
        </w:rPr>
        <w:t xml:space="preserve"> (N01 Typ zdroje financování výsledku S = s</w:t>
      </w:r>
      <w:r>
        <w:rPr>
          <w:rFonts w:ascii="Comenia Serif" w:hAnsi="Comenia Serif"/>
          <w:sz w:val="20"/>
          <w:szCs w:val="20"/>
        </w:rPr>
        <w:t xml:space="preserve">pecifický vysokoškolský výzkum): </w:t>
      </w:r>
      <w:r w:rsidR="002D48AD">
        <w:rPr>
          <w:rFonts w:ascii="Comenia Serif" w:hAnsi="Comenia Serif"/>
          <w:b/>
          <w:sz w:val="20"/>
          <w:szCs w:val="20"/>
        </w:rPr>
        <w:t>6</w:t>
      </w:r>
      <w:r>
        <w:rPr>
          <w:rFonts w:ascii="Comenia Serif" w:hAnsi="Comenia Serif"/>
          <w:b/>
          <w:sz w:val="20"/>
          <w:szCs w:val="20"/>
        </w:rPr>
        <w:t xml:space="preserve"> výsledků</w:t>
      </w:r>
    </w:p>
    <w:p w14:paraId="33F11826" w14:textId="79148D2B" w:rsidR="003655D4" w:rsidRPr="009A4E33" w:rsidRDefault="003655D4" w:rsidP="00E42617">
      <w:pPr>
        <w:pStyle w:val="Default"/>
        <w:numPr>
          <w:ilvl w:val="0"/>
          <w:numId w:val="10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s uvedením počtu disertačních (příp. diplomových) prací, které vznikly s podporou prostředků na specifický vysokoško</w:t>
      </w:r>
      <w:r>
        <w:rPr>
          <w:rFonts w:ascii="Comenia Serif" w:hAnsi="Comenia Serif"/>
          <w:sz w:val="20"/>
          <w:szCs w:val="20"/>
        </w:rPr>
        <w:t xml:space="preserve">lský výzkum: </w:t>
      </w:r>
      <w:r w:rsidR="00E42617">
        <w:rPr>
          <w:rFonts w:ascii="Comenia Serif" w:hAnsi="Comenia Serif"/>
          <w:b/>
          <w:sz w:val="20"/>
          <w:szCs w:val="20"/>
        </w:rPr>
        <w:t xml:space="preserve">1 práce </w:t>
      </w:r>
      <w:r w:rsidR="00E42617" w:rsidRPr="00E42617">
        <w:rPr>
          <w:rFonts w:ascii="Comenia Serif" w:hAnsi="Comenia Serif"/>
          <w:sz w:val="20"/>
          <w:szCs w:val="20"/>
        </w:rPr>
        <w:t>(</w:t>
      </w:r>
      <w:r w:rsidR="00E42617">
        <w:rPr>
          <w:rFonts w:ascii="Comenia Serif" w:hAnsi="Comenia Serif"/>
          <w:sz w:val="20"/>
          <w:szCs w:val="20"/>
        </w:rPr>
        <w:t xml:space="preserve">Disertační práce: Nacházel,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Human</w:t>
      </w:r>
      <w:proofErr w:type="spellEnd"/>
      <w:r w:rsidR="00E42617" w:rsidRPr="00E42617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Activities</w:t>
      </w:r>
      <w:proofErr w:type="spellEnd"/>
      <w:r w:rsidR="00E42617" w:rsidRPr="00E42617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Simulation</w:t>
      </w:r>
      <w:proofErr w:type="spellEnd"/>
      <w:r w:rsidR="00E42617" w:rsidRPr="00E42617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Based</w:t>
      </w:r>
      <w:proofErr w:type="spellEnd"/>
      <w:r w:rsidR="00E42617" w:rsidRPr="00E42617">
        <w:rPr>
          <w:rFonts w:ascii="Comenia Serif" w:hAnsi="Comenia Serif"/>
          <w:sz w:val="20"/>
          <w:szCs w:val="20"/>
        </w:rPr>
        <w:t xml:space="preserve"> on Fuzzy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Cognitive</w:t>
      </w:r>
      <w:proofErr w:type="spellEnd"/>
      <w:r w:rsidR="00E42617" w:rsidRPr="00E42617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2617" w:rsidRPr="00E42617">
        <w:rPr>
          <w:rFonts w:ascii="Comenia Serif" w:hAnsi="Comenia Serif"/>
          <w:sz w:val="20"/>
          <w:szCs w:val="20"/>
        </w:rPr>
        <w:t>Maps</w:t>
      </w:r>
      <w:proofErr w:type="spellEnd"/>
      <w:r w:rsidR="00E42617">
        <w:rPr>
          <w:rFonts w:ascii="Comenia Serif" w:hAnsi="Comenia Serif"/>
          <w:sz w:val="20"/>
          <w:szCs w:val="20"/>
        </w:rPr>
        <w:t>)</w:t>
      </w:r>
    </w:p>
    <w:p w14:paraId="43382A05" w14:textId="77777777" w:rsidR="003655D4" w:rsidRPr="009A4E33" w:rsidRDefault="003655D4" w:rsidP="003655D4">
      <w:pPr>
        <w:pStyle w:val="Default"/>
        <w:numPr>
          <w:ilvl w:val="0"/>
          <w:numId w:val="10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další příklady excelence dosažené s podporou prostředků na specifický vysokoškolský výzkum (např. oceněné práce).</w:t>
      </w:r>
    </w:p>
    <w:p w14:paraId="322BCF00" w14:textId="2AB7314D" w:rsidR="00D96EEC" w:rsidRDefault="00D96EEC" w:rsidP="004B4F42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50EB28DE" w14:textId="77777777" w:rsidR="00956161" w:rsidRDefault="00956161" w:rsidP="004B4F42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35FEF113" w14:textId="54007F98" w:rsidR="004B4F42" w:rsidRDefault="004B4F42" w:rsidP="004B4F42">
      <w:pPr>
        <w:pStyle w:val="Default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 xml:space="preserve">Ke zprávě je přiloženo: </w:t>
      </w:r>
    </w:p>
    <w:p w14:paraId="2C509C83" w14:textId="77777777" w:rsidR="004B4F42" w:rsidRDefault="004B4F42" w:rsidP="004B4F42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Výpis z OBD – výsledky publikační činnosti podpořené projektem. </w:t>
      </w:r>
    </w:p>
    <w:p w14:paraId="08EC8F04" w14:textId="238BB815" w:rsidR="004B4F42" w:rsidRPr="009E06BB" w:rsidRDefault="004B4F42" w:rsidP="00AD4012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„Výsledovka“ z ekonomického informačního systému </w:t>
      </w:r>
      <w:proofErr w:type="spellStart"/>
      <w:r>
        <w:rPr>
          <w:rFonts w:ascii="Comenia Serif" w:hAnsi="Comenia Serif"/>
          <w:sz w:val="20"/>
          <w:szCs w:val="20"/>
        </w:rPr>
        <w:t>Magion</w:t>
      </w:r>
      <w:proofErr w:type="spellEnd"/>
      <w:r>
        <w:rPr>
          <w:rFonts w:ascii="Comenia Serif" w:hAnsi="Comenia Serif"/>
          <w:sz w:val="20"/>
          <w:szCs w:val="20"/>
        </w:rPr>
        <w:t xml:space="preserve"> – vyúčtování dotace. </w:t>
      </w:r>
    </w:p>
    <w:p w14:paraId="259AFBE1" w14:textId="688BBAF1" w:rsidR="00DA3E92" w:rsidRDefault="00DA3E92" w:rsidP="00F02BE3">
      <w:pPr>
        <w:jc w:val="both"/>
        <w:rPr>
          <w:rFonts w:ascii="Comenia Serif" w:hAnsi="Comenia Serif"/>
          <w:sz w:val="20"/>
          <w:szCs w:val="20"/>
        </w:rPr>
      </w:pPr>
    </w:p>
    <w:p w14:paraId="538F97C6" w14:textId="77777777" w:rsidR="00956161" w:rsidRDefault="00956161" w:rsidP="00F02BE3">
      <w:pPr>
        <w:jc w:val="both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p w14:paraId="5AF1A09D" w14:textId="77777777" w:rsidR="006C1149" w:rsidRDefault="006C1149" w:rsidP="00F02BE3">
      <w:pPr>
        <w:jc w:val="both"/>
        <w:rPr>
          <w:rFonts w:ascii="Comenia Serif" w:hAnsi="Comenia Serif"/>
          <w:sz w:val="20"/>
          <w:szCs w:val="20"/>
        </w:rPr>
      </w:pPr>
    </w:p>
    <w:p w14:paraId="1CFB1D3A" w14:textId="77777777" w:rsidR="00DA3E92" w:rsidRPr="009A4E33" w:rsidRDefault="00DA3E92" w:rsidP="00F02BE3">
      <w:pPr>
        <w:jc w:val="both"/>
        <w:rPr>
          <w:rFonts w:ascii="Comenia Serif" w:hAnsi="Comenia Serif"/>
          <w:sz w:val="20"/>
          <w:szCs w:val="20"/>
        </w:rPr>
      </w:pPr>
    </w:p>
    <w:p w14:paraId="175D2E8A" w14:textId="4FB8F7B8" w:rsidR="007C2349" w:rsidRPr="004B4F42" w:rsidRDefault="004B4F42" w:rsidP="004B4F42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Hradci Králové, dne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Podpis odpovědného řešitele</w:t>
      </w:r>
    </w:p>
    <w:sectPr w:rsidR="007C2349" w:rsidRPr="004B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3C12029"/>
    <w:multiLevelType w:val="hybridMultilevel"/>
    <w:tmpl w:val="DFC64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7DB4"/>
    <w:multiLevelType w:val="hybridMultilevel"/>
    <w:tmpl w:val="A1F22DA6"/>
    <w:lvl w:ilvl="0" w:tplc="A09AA74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128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9204D"/>
    <w:multiLevelType w:val="hybridMultilevel"/>
    <w:tmpl w:val="F9501E7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5483C1E"/>
    <w:multiLevelType w:val="hybridMultilevel"/>
    <w:tmpl w:val="915CFF0C"/>
    <w:lvl w:ilvl="0" w:tplc="976472C0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2NTIyNzOxMDIzMjFR0lEKTi0uzszPAykwNKwFAJjtCz8tAAAA"/>
  </w:docVars>
  <w:rsids>
    <w:rsidRoot w:val="00420BB3"/>
    <w:rsid w:val="000131C2"/>
    <w:rsid w:val="000502DF"/>
    <w:rsid w:val="000845C9"/>
    <w:rsid w:val="000932DE"/>
    <w:rsid w:val="000B109B"/>
    <w:rsid w:val="000B7BFF"/>
    <w:rsid w:val="000C6DC3"/>
    <w:rsid w:val="00117383"/>
    <w:rsid w:val="001268D5"/>
    <w:rsid w:val="00131A51"/>
    <w:rsid w:val="00150607"/>
    <w:rsid w:val="00183CC0"/>
    <w:rsid w:val="00186DE0"/>
    <w:rsid w:val="00187537"/>
    <w:rsid w:val="001A0BCF"/>
    <w:rsid w:val="001C1457"/>
    <w:rsid w:val="001D25E1"/>
    <w:rsid w:val="001D63FB"/>
    <w:rsid w:val="00200A4E"/>
    <w:rsid w:val="00200AC1"/>
    <w:rsid w:val="002052C8"/>
    <w:rsid w:val="002242F5"/>
    <w:rsid w:val="002249A3"/>
    <w:rsid w:val="00225EF7"/>
    <w:rsid w:val="002306FB"/>
    <w:rsid w:val="00272B07"/>
    <w:rsid w:val="00286DDC"/>
    <w:rsid w:val="00293CBF"/>
    <w:rsid w:val="00295794"/>
    <w:rsid w:val="002D48AD"/>
    <w:rsid w:val="002E0221"/>
    <w:rsid w:val="002F4241"/>
    <w:rsid w:val="00316C2C"/>
    <w:rsid w:val="003535AC"/>
    <w:rsid w:val="00353B8B"/>
    <w:rsid w:val="003655D4"/>
    <w:rsid w:val="00375A56"/>
    <w:rsid w:val="0039785C"/>
    <w:rsid w:val="003A4BBD"/>
    <w:rsid w:val="003B1705"/>
    <w:rsid w:val="003C57FA"/>
    <w:rsid w:val="003D240B"/>
    <w:rsid w:val="003E6CDC"/>
    <w:rsid w:val="00415DAC"/>
    <w:rsid w:val="00420BB3"/>
    <w:rsid w:val="00423ACA"/>
    <w:rsid w:val="00443BA7"/>
    <w:rsid w:val="00487225"/>
    <w:rsid w:val="004A6BAD"/>
    <w:rsid w:val="004B1545"/>
    <w:rsid w:val="004B2ABC"/>
    <w:rsid w:val="004B4F42"/>
    <w:rsid w:val="004D3DF9"/>
    <w:rsid w:val="00520FDC"/>
    <w:rsid w:val="005219F6"/>
    <w:rsid w:val="00524988"/>
    <w:rsid w:val="005507AF"/>
    <w:rsid w:val="00560380"/>
    <w:rsid w:val="00573A31"/>
    <w:rsid w:val="005E4D2C"/>
    <w:rsid w:val="005E7ABB"/>
    <w:rsid w:val="00607CA9"/>
    <w:rsid w:val="0062486A"/>
    <w:rsid w:val="00636252"/>
    <w:rsid w:val="006B65A1"/>
    <w:rsid w:val="006C1149"/>
    <w:rsid w:val="006D270C"/>
    <w:rsid w:val="006D49A4"/>
    <w:rsid w:val="007150FD"/>
    <w:rsid w:val="00715B6D"/>
    <w:rsid w:val="00727578"/>
    <w:rsid w:val="00755FB1"/>
    <w:rsid w:val="007867EE"/>
    <w:rsid w:val="00794868"/>
    <w:rsid w:val="00796D33"/>
    <w:rsid w:val="007A0768"/>
    <w:rsid w:val="007E38AF"/>
    <w:rsid w:val="007F34F8"/>
    <w:rsid w:val="007F6ABC"/>
    <w:rsid w:val="00811E51"/>
    <w:rsid w:val="00823A0E"/>
    <w:rsid w:val="00827916"/>
    <w:rsid w:val="00836602"/>
    <w:rsid w:val="0085721A"/>
    <w:rsid w:val="00857472"/>
    <w:rsid w:val="008601F5"/>
    <w:rsid w:val="00875E71"/>
    <w:rsid w:val="00877752"/>
    <w:rsid w:val="00880134"/>
    <w:rsid w:val="0088702A"/>
    <w:rsid w:val="00895AA8"/>
    <w:rsid w:val="008C48F8"/>
    <w:rsid w:val="009044CB"/>
    <w:rsid w:val="00917B06"/>
    <w:rsid w:val="009322DB"/>
    <w:rsid w:val="00952B29"/>
    <w:rsid w:val="00956161"/>
    <w:rsid w:val="00960431"/>
    <w:rsid w:val="00972145"/>
    <w:rsid w:val="00987EBB"/>
    <w:rsid w:val="009A5439"/>
    <w:rsid w:val="009B602E"/>
    <w:rsid w:val="009D4E84"/>
    <w:rsid w:val="009E06BB"/>
    <w:rsid w:val="009E5B1C"/>
    <w:rsid w:val="00A069A4"/>
    <w:rsid w:val="00A87F48"/>
    <w:rsid w:val="00AA538A"/>
    <w:rsid w:val="00AB0FE1"/>
    <w:rsid w:val="00AD04FA"/>
    <w:rsid w:val="00AD4012"/>
    <w:rsid w:val="00AF0E4E"/>
    <w:rsid w:val="00B00431"/>
    <w:rsid w:val="00B12509"/>
    <w:rsid w:val="00B20503"/>
    <w:rsid w:val="00B30A70"/>
    <w:rsid w:val="00B56CBB"/>
    <w:rsid w:val="00B84248"/>
    <w:rsid w:val="00B92CEE"/>
    <w:rsid w:val="00B9610E"/>
    <w:rsid w:val="00BE0057"/>
    <w:rsid w:val="00BF06CC"/>
    <w:rsid w:val="00C1691E"/>
    <w:rsid w:val="00C20BD5"/>
    <w:rsid w:val="00C9736D"/>
    <w:rsid w:val="00CD6F29"/>
    <w:rsid w:val="00CE3768"/>
    <w:rsid w:val="00D17A25"/>
    <w:rsid w:val="00D23012"/>
    <w:rsid w:val="00D32478"/>
    <w:rsid w:val="00D96EEC"/>
    <w:rsid w:val="00DA3E92"/>
    <w:rsid w:val="00DC7A2C"/>
    <w:rsid w:val="00DE0C40"/>
    <w:rsid w:val="00E0143A"/>
    <w:rsid w:val="00E06D0C"/>
    <w:rsid w:val="00E42617"/>
    <w:rsid w:val="00E47942"/>
    <w:rsid w:val="00E60DEA"/>
    <w:rsid w:val="00E6505F"/>
    <w:rsid w:val="00E848A2"/>
    <w:rsid w:val="00EA2CD1"/>
    <w:rsid w:val="00EB1B8E"/>
    <w:rsid w:val="00EB4018"/>
    <w:rsid w:val="00ED12AF"/>
    <w:rsid w:val="00EE187E"/>
    <w:rsid w:val="00EF08AE"/>
    <w:rsid w:val="00EF2379"/>
    <w:rsid w:val="00F02BE3"/>
    <w:rsid w:val="00F22F97"/>
    <w:rsid w:val="00F25846"/>
    <w:rsid w:val="00F36719"/>
    <w:rsid w:val="00F40BDD"/>
    <w:rsid w:val="00F4782A"/>
    <w:rsid w:val="00F50D4D"/>
    <w:rsid w:val="00F53E98"/>
    <w:rsid w:val="00F81B9A"/>
    <w:rsid w:val="00F923A1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6A89"/>
  <w15:docId w15:val="{485079C5-331D-4ECE-B8FA-6092494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B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BE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79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755FB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6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9A4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9A4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9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9A4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4B4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Comenia">
    <w:name w:val="Normální Comenia"/>
    <w:basedOn w:val="Normln"/>
    <w:link w:val="NormlnComeniaChar"/>
    <w:qFormat/>
    <w:rsid w:val="00794868"/>
    <w:pPr>
      <w:jc w:val="both"/>
    </w:pPr>
    <w:rPr>
      <w:rFonts w:ascii="Comenia Serif" w:hAnsi="Comenia Serif"/>
      <w:sz w:val="20"/>
      <w:szCs w:val="20"/>
    </w:rPr>
  </w:style>
  <w:style w:type="character" w:customStyle="1" w:styleId="NormlnComeniaChar">
    <w:name w:val="Normální Comenia Char"/>
    <w:basedOn w:val="Standardnpsmoodstavce"/>
    <w:link w:val="NormlnComenia"/>
    <w:rsid w:val="00794868"/>
    <w:rPr>
      <w:rFonts w:ascii="Comenia Serif" w:eastAsia="Cambria" w:hAnsi="Comenia Serif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2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89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4027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1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264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1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63962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2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36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83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86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072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2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96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532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220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7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872">
                  <w:marLeft w:val="0"/>
                  <w:marRight w:val="0"/>
                  <w:marTop w:val="0"/>
                  <w:marBottom w:val="0"/>
                  <w:divBdr>
                    <w:top w:val="single" w:sz="6" w:space="9" w:color="auto"/>
                    <w:left w:val="single" w:sz="6" w:space="0" w:color="auto"/>
                    <w:bottom w:val="single" w:sz="6" w:space="9" w:color="auto"/>
                    <w:right w:val="single" w:sz="6" w:space="0" w:color="auto"/>
                  </w:divBdr>
                  <w:divsChild>
                    <w:div w:id="20471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0630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19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0037549719869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journals.plos.org/plosone/article?id=10.1371/journal.pone.02162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eomsociety.org/pilsen2019/papers/388.pdf" TargetMode="External"/><Relationship Id="rId11" Type="http://schemas.openxmlformats.org/officeDocument/2006/relationships/hyperlink" Target="https://link.springer.com/chapter/10.1007/978-3-030-28374-2_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eeexplore.ieee.org/document/8782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0489-019-01461-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97F8-C867-499B-9998-AAD55137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Nacházel</dc:creator>
  <cp:lastModifiedBy>Nacházel Tomáš</cp:lastModifiedBy>
  <cp:revision>29</cp:revision>
  <cp:lastPrinted>2019-01-10T14:34:00Z</cp:lastPrinted>
  <dcterms:created xsi:type="dcterms:W3CDTF">2018-01-10T10:10:00Z</dcterms:created>
  <dcterms:modified xsi:type="dcterms:W3CDTF">2020-01-09T13:56:00Z</dcterms:modified>
</cp:coreProperties>
</file>