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5F5D0" w14:textId="201C4CF7" w:rsidR="00150CBA" w:rsidRDefault="00AB7AE6" w:rsidP="00962AA6">
      <w:pPr>
        <w:jc w:val="center"/>
        <w:rPr>
          <w:b/>
          <w:sz w:val="24"/>
          <w:szCs w:val="24"/>
          <w:lang w:val="cs-CZ" w:bidi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756F65" wp14:editId="78901414">
            <wp:simplePos x="0" y="0"/>
            <wp:positionH relativeFrom="column">
              <wp:posOffset>4333240</wp:posOffset>
            </wp:positionH>
            <wp:positionV relativeFrom="paragraph">
              <wp:posOffset>-390525</wp:posOffset>
            </wp:positionV>
            <wp:extent cx="1581150" cy="449580"/>
            <wp:effectExtent l="0" t="0" r="0" b="7620"/>
            <wp:wrapNone/>
            <wp:docPr id="2" name="Obrázek 22" descr="EU flag-Erasmus+_vect_POS [B&amp;W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EU flag-Erasmus+_vect_POS [B&amp;W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983C9FC" wp14:editId="78C15AB2">
            <wp:simplePos x="0" y="0"/>
            <wp:positionH relativeFrom="column">
              <wp:posOffset>-172085</wp:posOffset>
            </wp:positionH>
            <wp:positionV relativeFrom="paragraph">
              <wp:posOffset>-470535</wp:posOffset>
            </wp:positionV>
            <wp:extent cx="2571750" cy="662940"/>
            <wp:effectExtent l="0" t="0" r="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EE4FD" w14:textId="37FE47B2" w:rsidR="00150CBA" w:rsidRDefault="00150CBA" w:rsidP="00962AA6">
      <w:pPr>
        <w:jc w:val="center"/>
        <w:rPr>
          <w:b/>
          <w:sz w:val="24"/>
          <w:szCs w:val="24"/>
          <w:lang w:val="cs-CZ" w:bidi="cs-CZ"/>
        </w:rPr>
      </w:pPr>
    </w:p>
    <w:p w14:paraId="755CA2EE" w14:textId="77777777" w:rsidR="007E52D3" w:rsidRDefault="00305401" w:rsidP="00962AA6">
      <w:pPr>
        <w:jc w:val="center"/>
        <w:rPr>
          <w:b/>
          <w:sz w:val="24"/>
          <w:szCs w:val="24"/>
          <w:lang w:val="cs-CZ" w:bidi="cs-CZ"/>
        </w:rPr>
      </w:pPr>
      <w:r w:rsidRPr="00962AA6">
        <w:rPr>
          <w:b/>
          <w:sz w:val="24"/>
          <w:szCs w:val="24"/>
          <w:lang w:val="cs-CZ" w:bidi="cs-CZ"/>
        </w:rPr>
        <w:t>Ú</w:t>
      </w:r>
      <w:r w:rsidR="00F62529">
        <w:rPr>
          <w:b/>
          <w:sz w:val="24"/>
          <w:szCs w:val="24"/>
          <w:lang w:val="cs-CZ" w:bidi="cs-CZ"/>
        </w:rPr>
        <w:t>ČASTNICKÁ SMLOUVA</w:t>
      </w:r>
      <w:r w:rsidR="00BE7116">
        <w:rPr>
          <w:b/>
          <w:sz w:val="24"/>
          <w:szCs w:val="24"/>
          <w:lang w:val="cs-CZ" w:bidi="cs-CZ"/>
        </w:rPr>
        <w:t xml:space="preserve"> </w:t>
      </w:r>
      <w:r w:rsidR="00F62529">
        <w:rPr>
          <w:b/>
          <w:sz w:val="24"/>
          <w:szCs w:val="24"/>
          <w:lang w:val="cs-CZ" w:bidi="cs-CZ"/>
        </w:rPr>
        <w:t>– ERASMUS+ - MOBILITA JEDNOTLIVCŮ</w:t>
      </w:r>
    </w:p>
    <w:p w14:paraId="252C822E" w14:textId="0B623814" w:rsidR="00FD6452" w:rsidRPr="000E0D50" w:rsidRDefault="00A24664" w:rsidP="00962AA6">
      <w:pPr>
        <w:jc w:val="center"/>
        <w:rPr>
          <w:b/>
          <w:bCs/>
          <w:sz w:val="24"/>
          <w:szCs w:val="24"/>
          <w:lang w:val="cs-CZ"/>
        </w:rPr>
      </w:pPr>
      <w:proofErr w:type="spellStart"/>
      <w:r>
        <w:rPr>
          <w:b/>
          <w:sz w:val="24"/>
          <w:szCs w:val="24"/>
          <w:lang w:val="cs-CZ" w:bidi="cs-CZ"/>
        </w:rPr>
        <w:t>PdF</w:t>
      </w:r>
      <w:proofErr w:type="spellEnd"/>
      <w:r w:rsidR="00A15A89" w:rsidRPr="007E12CB">
        <w:rPr>
          <w:b/>
          <w:sz w:val="24"/>
          <w:szCs w:val="24"/>
          <w:lang w:val="cs-CZ" w:bidi="cs-CZ"/>
        </w:rPr>
        <w:t>/S</w:t>
      </w:r>
      <w:r w:rsidRPr="007E12CB">
        <w:rPr>
          <w:b/>
          <w:sz w:val="24"/>
          <w:szCs w:val="24"/>
          <w:lang w:val="cs-CZ" w:bidi="cs-CZ"/>
        </w:rPr>
        <w:t>T</w:t>
      </w:r>
      <w:r w:rsidR="00ED29BF">
        <w:rPr>
          <w:b/>
          <w:sz w:val="24"/>
          <w:szCs w:val="24"/>
          <w:lang w:val="cs-CZ" w:bidi="cs-CZ"/>
        </w:rPr>
        <w:t>T</w:t>
      </w:r>
      <w:bookmarkStart w:id="0" w:name="_GoBack"/>
      <w:bookmarkEnd w:id="0"/>
      <w:r w:rsidR="00A15A89" w:rsidRPr="007E12CB">
        <w:rPr>
          <w:b/>
          <w:sz w:val="24"/>
          <w:szCs w:val="24"/>
          <w:lang w:val="cs-CZ" w:bidi="cs-CZ"/>
        </w:rPr>
        <w:t>/XY/40</w:t>
      </w:r>
      <w:r w:rsidRPr="007E12CB">
        <w:rPr>
          <w:b/>
          <w:sz w:val="24"/>
          <w:szCs w:val="24"/>
          <w:lang w:val="cs-CZ" w:bidi="cs-CZ"/>
        </w:rPr>
        <w:t>1</w:t>
      </w:r>
      <w:r w:rsidR="00A15A89" w:rsidRPr="007E12CB">
        <w:rPr>
          <w:b/>
          <w:sz w:val="24"/>
          <w:szCs w:val="24"/>
          <w:lang w:val="cs-CZ" w:bidi="cs-CZ"/>
        </w:rPr>
        <w:t>/V2</w:t>
      </w:r>
      <w:r w:rsidR="007E52D3" w:rsidRPr="007E12CB">
        <w:rPr>
          <w:b/>
          <w:sz w:val="24"/>
          <w:szCs w:val="24"/>
          <w:lang w:val="cs-CZ" w:bidi="cs-CZ"/>
        </w:rPr>
        <w:t>3</w:t>
      </w:r>
    </w:p>
    <w:p w14:paraId="40EE5BCE" w14:textId="77777777" w:rsidR="009754AD" w:rsidRPr="007E12CB" w:rsidRDefault="009754AD" w:rsidP="009754AD">
      <w:pPr>
        <w:jc w:val="center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uzavřená níže uvedeného dne, měsíce a roku v souladu s příslušnými ustanovením § 1746 odst. 2</w:t>
      </w:r>
    </w:p>
    <w:p w14:paraId="1344C295" w14:textId="77777777" w:rsidR="009754AD" w:rsidRPr="007E12CB" w:rsidRDefault="009754AD" w:rsidP="009754AD">
      <w:pPr>
        <w:jc w:val="center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zák. č. 89/2012 Sb., občanský zákoník v platném znění, (dále jen "smlouva“)</w:t>
      </w:r>
    </w:p>
    <w:p w14:paraId="03AAF1D5" w14:textId="77777777" w:rsidR="00A24664" w:rsidRDefault="00A24664" w:rsidP="773BE38D">
      <w:pPr>
        <w:rPr>
          <w:lang w:val="cs-CZ" w:bidi="cs-CZ"/>
        </w:rPr>
      </w:pPr>
    </w:p>
    <w:p w14:paraId="4895B587" w14:textId="485BC540" w:rsidR="007E52D3" w:rsidRDefault="007E52D3" w:rsidP="773BE38D">
      <w:pPr>
        <w:rPr>
          <w:lang w:val="cs-CZ" w:bidi="cs-CZ"/>
        </w:rPr>
      </w:pPr>
      <w:r>
        <w:rPr>
          <w:lang w:val="cs-CZ" w:bidi="cs-CZ"/>
        </w:rPr>
        <w:t xml:space="preserve">Číslo projektu: </w:t>
      </w:r>
      <w:r w:rsidRPr="007E52D3">
        <w:rPr>
          <w:lang w:val="cs-CZ" w:bidi="cs-CZ"/>
        </w:rPr>
        <w:t>2023-1-CZ01-KA131-HED-000126231</w:t>
      </w:r>
    </w:p>
    <w:p w14:paraId="4B6BD3FC" w14:textId="48719609" w:rsidR="00984DD3" w:rsidRPr="00EA258F" w:rsidRDefault="00984DD3" w:rsidP="773BE38D">
      <w:pPr>
        <w:rPr>
          <w:lang w:val="cs-CZ"/>
        </w:rPr>
      </w:pPr>
      <w:r w:rsidRPr="00EA258F">
        <w:rPr>
          <w:lang w:val="cs-CZ" w:bidi="cs-CZ"/>
        </w:rPr>
        <w:t>Oblast: Vysokoškolské vzdělávání</w:t>
      </w:r>
    </w:p>
    <w:p w14:paraId="1FF538CA" w14:textId="537758FB" w:rsidR="001B2A38" w:rsidRDefault="001B2A38" w:rsidP="773BE38D">
      <w:pPr>
        <w:rPr>
          <w:highlight w:val="yellow"/>
          <w:lang w:val="cs-CZ" w:bidi="cs-CZ"/>
        </w:rPr>
      </w:pPr>
      <w:r w:rsidRPr="00EA258F">
        <w:rPr>
          <w:lang w:val="cs-CZ" w:bidi="cs-CZ"/>
        </w:rPr>
        <w:t>Akademický rok: 20</w:t>
      </w:r>
      <w:r w:rsidR="00A24664">
        <w:rPr>
          <w:lang w:val="cs-CZ" w:bidi="cs-CZ"/>
        </w:rPr>
        <w:t>24</w:t>
      </w:r>
      <w:r w:rsidRPr="00EA258F">
        <w:rPr>
          <w:lang w:val="cs-CZ" w:bidi="cs-CZ"/>
        </w:rPr>
        <w:t>/20</w:t>
      </w:r>
      <w:r w:rsidR="00A24664">
        <w:rPr>
          <w:lang w:val="cs-CZ" w:bidi="cs-CZ"/>
        </w:rPr>
        <w:t>25</w:t>
      </w:r>
    </w:p>
    <w:p w14:paraId="4A288C9D" w14:textId="13DA9686" w:rsidR="00FC7099" w:rsidRDefault="00FC7099" w:rsidP="773BE38D">
      <w:pPr>
        <w:rPr>
          <w:lang w:val="cs-CZ"/>
        </w:rPr>
      </w:pPr>
      <w:r>
        <w:rPr>
          <w:lang w:val="cs-CZ"/>
        </w:rPr>
        <w:t xml:space="preserve">Erasmus+ mobility ID číslo: </w:t>
      </w:r>
      <w:r w:rsidR="007D07B2">
        <w:rPr>
          <w:lang w:val="cs-CZ"/>
        </w:rPr>
        <w:t>viz číslo účastnické smlouvy</w:t>
      </w:r>
    </w:p>
    <w:p w14:paraId="43CD5956" w14:textId="37E91D19" w:rsidR="00981EFE" w:rsidRDefault="00981EFE" w:rsidP="773BE38D">
      <w:pPr>
        <w:rPr>
          <w:lang w:val="cs-CZ"/>
        </w:rPr>
      </w:pPr>
    </w:p>
    <w:p w14:paraId="050E0E4B" w14:textId="4959C05A" w:rsidR="00981EFE" w:rsidRPr="00981EFE" w:rsidRDefault="00981EFE" w:rsidP="00350D29">
      <w:pPr>
        <w:jc w:val="center"/>
        <w:rPr>
          <w:b/>
          <w:lang w:val="cs-CZ"/>
        </w:rPr>
      </w:pPr>
      <w:r w:rsidRPr="00981EFE">
        <w:rPr>
          <w:b/>
          <w:lang w:val="cs-CZ"/>
        </w:rPr>
        <w:t>PREAMBULE</w:t>
      </w:r>
    </w:p>
    <w:p w14:paraId="7E80390F" w14:textId="1975CF42" w:rsidR="001B2A38" w:rsidRDefault="001B2A38" w:rsidP="773BE38D">
      <w:pPr>
        <w:rPr>
          <w:lang w:val="cs-CZ"/>
        </w:rPr>
      </w:pPr>
    </w:p>
    <w:p w14:paraId="579CCDF9" w14:textId="4F5CE26D" w:rsidR="00350D29" w:rsidRDefault="00350D29" w:rsidP="773BE38D">
      <w:pPr>
        <w:rPr>
          <w:lang w:val="cs-CZ"/>
        </w:rPr>
      </w:pPr>
      <w:r w:rsidRPr="00350D29">
        <w:rPr>
          <w:lang w:val="cs-CZ"/>
        </w:rPr>
        <w:t xml:space="preserve">Tato smlouva </w:t>
      </w:r>
      <w:r w:rsidR="004C7375">
        <w:rPr>
          <w:lang w:val="cs-CZ"/>
        </w:rPr>
        <w:t>j</w:t>
      </w:r>
      <w:r w:rsidRPr="00350D29">
        <w:rPr>
          <w:lang w:val="cs-CZ"/>
        </w:rPr>
        <w:t>e uzavřena mezi následujícími stranami</w:t>
      </w:r>
      <w:r w:rsidR="00481F5D">
        <w:rPr>
          <w:lang w:val="cs-CZ"/>
        </w:rPr>
        <w:t>:</w:t>
      </w:r>
    </w:p>
    <w:p w14:paraId="14083213" w14:textId="77777777" w:rsidR="00350D29" w:rsidRPr="00EA258F" w:rsidRDefault="00350D29" w:rsidP="773BE38D">
      <w:pPr>
        <w:rPr>
          <w:lang w:val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AC1946" w:rsidRPr="00505236" w14:paraId="5CD90A40" w14:textId="77777777" w:rsidTr="00CE7D71">
        <w:tc>
          <w:tcPr>
            <w:tcW w:w="2694" w:type="dxa"/>
            <w:shd w:val="clear" w:color="auto" w:fill="auto"/>
          </w:tcPr>
          <w:p w14:paraId="270FB9BC" w14:textId="26C5410E" w:rsidR="00AC1946" w:rsidRPr="000D132C" w:rsidRDefault="00EC212C" w:rsidP="0075587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</w:t>
            </w:r>
            <w:r w:rsidRPr="00EC212C">
              <w:rPr>
                <w:lang w:val="en-GB"/>
              </w:rPr>
              <w:t>ázev</w:t>
            </w:r>
            <w:proofErr w:type="spellEnd"/>
            <w:r w:rsidRPr="00EC212C">
              <w:rPr>
                <w:lang w:val="en-GB"/>
              </w:rPr>
              <w:t xml:space="preserve"> </w:t>
            </w:r>
            <w:proofErr w:type="spellStart"/>
            <w:r w:rsidRPr="00EC212C">
              <w:rPr>
                <w:lang w:val="en-GB"/>
              </w:rPr>
              <w:t>vysílající</w:t>
            </w:r>
            <w:proofErr w:type="spellEnd"/>
            <w:r w:rsidRPr="00EC212C">
              <w:rPr>
                <w:lang w:val="en-GB"/>
              </w:rPr>
              <w:t xml:space="preserve"> </w:t>
            </w:r>
            <w:proofErr w:type="spellStart"/>
            <w:r w:rsidR="00CB3F83">
              <w:rPr>
                <w:lang w:val="en-GB"/>
              </w:rPr>
              <w:t>organizace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215534D8" w14:textId="7C6D91B5" w:rsidR="00AC1946" w:rsidRPr="00EC212C" w:rsidRDefault="00EC212C" w:rsidP="00755872">
            <w:pPr>
              <w:rPr>
                <w:b/>
                <w:lang w:val="en-GB"/>
              </w:rPr>
            </w:pPr>
            <w:proofErr w:type="spellStart"/>
            <w:r w:rsidRPr="00EC212C">
              <w:rPr>
                <w:b/>
                <w:lang w:val="en-GB"/>
              </w:rPr>
              <w:t>Univerzita</w:t>
            </w:r>
            <w:proofErr w:type="spellEnd"/>
            <w:r w:rsidRPr="00EC212C">
              <w:rPr>
                <w:b/>
                <w:lang w:val="en-GB"/>
              </w:rPr>
              <w:t xml:space="preserve"> Hradec Králové </w:t>
            </w:r>
            <w:r w:rsidR="00A24664">
              <w:rPr>
                <w:b/>
                <w:lang w:val="en-GB"/>
              </w:rPr>
              <w:t>/</w:t>
            </w:r>
            <w:proofErr w:type="spellStart"/>
            <w:r w:rsidR="00A24664">
              <w:rPr>
                <w:b/>
                <w:lang w:val="en-GB"/>
              </w:rPr>
              <w:t>Pedagogická</w:t>
            </w:r>
            <w:proofErr w:type="spellEnd"/>
            <w:r w:rsidR="00A24664">
              <w:rPr>
                <w:b/>
                <w:lang w:val="en-GB"/>
              </w:rPr>
              <w:t xml:space="preserve"> </w:t>
            </w:r>
            <w:proofErr w:type="spellStart"/>
            <w:r w:rsidR="00A24664">
              <w:rPr>
                <w:b/>
                <w:lang w:val="en-GB"/>
              </w:rPr>
              <w:t>fakulta</w:t>
            </w:r>
            <w:proofErr w:type="spellEnd"/>
          </w:p>
        </w:tc>
      </w:tr>
      <w:tr w:rsidR="00EC212C" w:rsidRPr="00505236" w14:paraId="0144EA9C" w14:textId="77777777" w:rsidTr="00CE7D71">
        <w:tc>
          <w:tcPr>
            <w:tcW w:w="2694" w:type="dxa"/>
            <w:shd w:val="clear" w:color="auto" w:fill="auto"/>
          </w:tcPr>
          <w:p w14:paraId="341E1232" w14:textId="19C999C2" w:rsidR="00EC212C" w:rsidRPr="000D132C" w:rsidRDefault="00EC212C" w:rsidP="00EC212C">
            <w:pPr>
              <w:rPr>
                <w:lang w:val="en-GB"/>
              </w:rPr>
            </w:pPr>
            <w:r w:rsidRPr="000D132C">
              <w:rPr>
                <w:lang w:val="en-GB"/>
              </w:rPr>
              <w:t>IČ</w:t>
            </w:r>
          </w:p>
        </w:tc>
        <w:tc>
          <w:tcPr>
            <w:tcW w:w="6945" w:type="dxa"/>
            <w:shd w:val="clear" w:color="auto" w:fill="auto"/>
          </w:tcPr>
          <w:p w14:paraId="00ACD3C5" w14:textId="661C6165" w:rsidR="00EC212C" w:rsidRPr="000D132C" w:rsidRDefault="00EC212C" w:rsidP="00EC212C">
            <w:pPr>
              <w:rPr>
                <w:lang w:val="en-GB"/>
              </w:rPr>
            </w:pPr>
            <w:r w:rsidRPr="000D132C">
              <w:rPr>
                <w:lang w:val="en-GB"/>
              </w:rPr>
              <w:t>62690094</w:t>
            </w:r>
          </w:p>
        </w:tc>
      </w:tr>
      <w:tr w:rsidR="00EC212C" w:rsidRPr="00505236" w14:paraId="32CE0047" w14:textId="77777777" w:rsidTr="00CE7D71">
        <w:tc>
          <w:tcPr>
            <w:tcW w:w="2694" w:type="dxa"/>
            <w:shd w:val="clear" w:color="auto" w:fill="auto"/>
          </w:tcPr>
          <w:p w14:paraId="0D6B138B" w14:textId="1E6C215F" w:rsidR="00EC212C" w:rsidRPr="003912F9" w:rsidRDefault="000C54E5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>
              <w:rPr>
                <w:lang w:val="cs-CZ"/>
              </w:rPr>
              <w:t>Adresa</w:t>
            </w:r>
          </w:p>
        </w:tc>
        <w:tc>
          <w:tcPr>
            <w:tcW w:w="6945" w:type="dxa"/>
            <w:shd w:val="clear" w:color="auto" w:fill="auto"/>
          </w:tcPr>
          <w:p w14:paraId="5FD96A40" w14:textId="66AA56FE" w:rsidR="00EC212C" w:rsidRPr="00505236" w:rsidRDefault="00EC212C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505236">
              <w:rPr>
                <w:lang w:val="cs-CZ"/>
              </w:rPr>
              <w:t>Rokitanského 62, 500 03 Hradec Králové</w:t>
            </w:r>
            <w:r w:rsidR="00B57C47">
              <w:rPr>
                <w:lang w:val="cs-CZ"/>
              </w:rPr>
              <w:t>, Česká republika</w:t>
            </w:r>
          </w:p>
        </w:tc>
      </w:tr>
      <w:tr w:rsidR="00EC212C" w:rsidRPr="00505236" w14:paraId="6E8916BC" w14:textId="77777777" w:rsidTr="00CE7D71">
        <w:tc>
          <w:tcPr>
            <w:tcW w:w="2694" w:type="dxa"/>
            <w:shd w:val="clear" w:color="auto" w:fill="auto"/>
          </w:tcPr>
          <w:p w14:paraId="23ED7445" w14:textId="77777777" w:rsidR="00EC212C" w:rsidRPr="003912F9" w:rsidRDefault="00EC212C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3912F9">
              <w:rPr>
                <w:lang w:val="cs-CZ"/>
              </w:rPr>
              <w:t>Kód Erasmus</w:t>
            </w:r>
          </w:p>
        </w:tc>
        <w:tc>
          <w:tcPr>
            <w:tcW w:w="6945" w:type="dxa"/>
            <w:shd w:val="clear" w:color="auto" w:fill="auto"/>
          </w:tcPr>
          <w:p w14:paraId="679231B0" w14:textId="77777777" w:rsidR="00EC212C" w:rsidRPr="00505236" w:rsidRDefault="00EC212C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505236">
              <w:rPr>
                <w:lang w:val="cs-CZ"/>
              </w:rPr>
              <w:t>CZ HRADEC01</w:t>
            </w:r>
          </w:p>
        </w:tc>
      </w:tr>
      <w:tr w:rsidR="001C5646" w:rsidRPr="00505236" w14:paraId="03EFF947" w14:textId="77777777" w:rsidTr="00CE7D71">
        <w:tc>
          <w:tcPr>
            <w:tcW w:w="2694" w:type="dxa"/>
            <w:shd w:val="clear" w:color="auto" w:fill="auto"/>
          </w:tcPr>
          <w:p w14:paraId="09A3ED0C" w14:textId="65898C87" w:rsidR="001C5646" w:rsidRPr="003912F9" w:rsidRDefault="001C5646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r>
              <w:rPr>
                <w:lang w:val="cs-CZ"/>
              </w:rPr>
              <w:t>Email</w:t>
            </w:r>
          </w:p>
        </w:tc>
        <w:tc>
          <w:tcPr>
            <w:tcW w:w="6945" w:type="dxa"/>
            <w:shd w:val="clear" w:color="auto" w:fill="auto"/>
          </w:tcPr>
          <w:p w14:paraId="70C9AC9D" w14:textId="194F95FE" w:rsidR="001C5646" w:rsidRPr="00505236" w:rsidRDefault="0049643E" w:rsidP="00EC212C">
            <w:pPr>
              <w:tabs>
                <w:tab w:val="left" w:pos="2410"/>
              </w:tabs>
              <w:jc w:val="both"/>
              <w:rPr>
                <w:lang w:val="cs-CZ"/>
              </w:rPr>
            </w:pPr>
            <w:hyperlink r:id="rId13" w:history="1">
              <w:r w:rsidR="00A24664" w:rsidRPr="008203E3">
                <w:rPr>
                  <w:rStyle w:val="Hypertextovodkaz"/>
                  <w:lang w:val="cs-CZ"/>
                </w:rPr>
                <w:t>pd</w:t>
              </w:r>
              <w:r w:rsidR="00A24664" w:rsidRPr="008203E3">
                <w:rPr>
                  <w:rStyle w:val="Hypertextovodkaz"/>
                </w:rPr>
                <w:t>f.iro</w:t>
              </w:r>
              <w:r w:rsidR="00A24664" w:rsidRPr="008203E3">
                <w:rPr>
                  <w:rStyle w:val="Hypertextovodkaz"/>
                  <w:lang w:val="cs-CZ"/>
                </w:rPr>
                <w:t>@uhk.cz</w:t>
              </w:r>
            </w:hyperlink>
            <w:r w:rsidR="00A24664">
              <w:rPr>
                <w:lang w:val="cs-CZ"/>
              </w:rPr>
              <w:t xml:space="preserve"> </w:t>
            </w:r>
          </w:p>
        </w:tc>
      </w:tr>
    </w:tbl>
    <w:p w14:paraId="75B5798B" w14:textId="56227772" w:rsidR="00374255" w:rsidRPr="00EA258F" w:rsidRDefault="00481F5D" w:rsidP="773BE38D">
      <w:pPr>
        <w:rPr>
          <w:lang w:val="cs-CZ"/>
        </w:rPr>
      </w:pPr>
      <w:r>
        <w:rPr>
          <w:lang w:val="cs-CZ" w:bidi="cs-CZ"/>
        </w:rPr>
        <w:t>d</w:t>
      </w:r>
      <w:r w:rsidR="2156E4C0" w:rsidRPr="00EA258F">
        <w:rPr>
          <w:lang w:val="cs-CZ" w:bidi="cs-CZ"/>
        </w:rPr>
        <w:t>ále jen „organizace“</w:t>
      </w:r>
      <w:r w:rsidR="00AC1946" w:rsidRPr="00AC1946">
        <w:rPr>
          <w:lang w:val="cs-CZ"/>
        </w:rPr>
        <w:t xml:space="preserve"> </w:t>
      </w:r>
      <w:r w:rsidR="00AC1946" w:rsidRPr="00505236">
        <w:rPr>
          <w:lang w:val="cs-CZ"/>
        </w:rPr>
        <w:t xml:space="preserve">nebo </w:t>
      </w:r>
      <w:r w:rsidR="00AC1946">
        <w:rPr>
          <w:lang w:val="cs-CZ"/>
        </w:rPr>
        <w:t>„</w:t>
      </w:r>
      <w:r w:rsidR="00AC1946" w:rsidRPr="00505236">
        <w:rPr>
          <w:lang w:val="cs-CZ"/>
        </w:rPr>
        <w:t>UHK“</w:t>
      </w:r>
      <w:r w:rsidR="2156E4C0" w:rsidRPr="00EA258F">
        <w:rPr>
          <w:lang w:val="cs-CZ" w:bidi="cs-CZ"/>
        </w:rPr>
        <w:t xml:space="preserve">, pro podpis této smlouvy zastoupená </w:t>
      </w:r>
      <w:r w:rsidR="00A24664" w:rsidRPr="00A24664">
        <w:rPr>
          <w:lang w:val="cs-CZ"/>
        </w:rPr>
        <w:t>Mgr. Janet Wolf, Ph.D. et Ph.D., proděkank</w:t>
      </w:r>
      <w:r w:rsidR="001B5C9D">
        <w:rPr>
          <w:lang w:val="cs-CZ"/>
        </w:rPr>
        <w:t>ou</w:t>
      </w:r>
      <w:r w:rsidR="00A24664" w:rsidRPr="00A24664">
        <w:rPr>
          <w:lang w:val="cs-CZ"/>
        </w:rPr>
        <w:t xml:space="preserve"> pro internacionalizaci a vnější vztahy </w:t>
      </w:r>
      <w:r w:rsidR="2156E4C0" w:rsidRPr="00A24664">
        <w:rPr>
          <w:lang w:val="cs-CZ" w:bidi="cs-CZ"/>
        </w:rPr>
        <w:t>na straně jedné a</w:t>
      </w:r>
    </w:p>
    <w:p w14:paraId="4E04C773" w14:textId="1BC899EA" w:rsidR="002E24F7" w:rsidRPr="00EA258F" w:rsidRDefault="002E24F7" w:rsidP="773BE38D">
      <w:pPr>
        <w:rPr>
          <w:lang w:val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B27458" w:rsidRPr="00BC3853" w14:paraId="28EB1EFC" w14:textId="77777777" w:rsidTr="00CE7D71">
        <w:tc>
          <w:tcPr>
            <w:tcW w:w="2694" w:type="dxa"/>
            <w:shd w:val="clear" w:color="auto" w:fill="auto"/>
          </w:tcPr>
          <w:p w14:paraId="545F50DF" w14:textId="4811DA7B" w:rsidR="00B27458" w:rsidRPr="004B5CB0" w:rsidRDefault="00B27458" w:rsidP="00755872">
            <w:pPr>
              <w:rPr>
                <w:lang w:val="en-GB"/>
              </w:rPr>
            </w:pPr>
            <w:r w:rsidRPr="00EA258F">
              <w:rPr>
                <w:lang w:val="cs-CZ" w:bidi="cs-CZ"/>
              </w:rPr>
              <w:t>Jméno a příjmení účastníka</w:t>
            </w:r>
          </w:p>
        </w:tc>
        <w:tc>
          <w:tcPr>
            <w:tcW w:w="6945" w:type="dxa"/>
            <w:shd w:val="clear" w:color="auto" w:fill="auto"/>
          </w:tcPr>
          <w:p w14:paraId="67AE687B" w14:textId="6B0DB9EC" w:rsidR="00B27458" w:rsidRPr="00DB17B2" w:rsidRDefault="00B27458" w:rsidP="00755872">
            <w:pPr>
              <w:rPr>
                <w:b/>
                <w:lang w:val="en-GB"/>
              </w:rPr>
            </w:pPr>
          </w:p>
        </w:tc>
      </w:tr>
      <w:tr w:rsidR="00A24664" w:rsidRPr="00BC3853" w14:paraId="51CF84F0" w14:textId="77777777" w:rsidTr="00CE7D71">
        <w:tc>
          <w:tcPr>
            <w:tcW w:w="2694" w:type="dxa"/>
            <w:shd w:val="clear" w:color="auto" w:fill="auto"/>
          </w:tcPr>
          <w:p w14:paraId="34500DCD" w14:textId="213572D2" w:rsidR="00A24664" w:rsidRPr="00EA258F" w:rsidRDefault="00A24664" w:rsidP="00755872">
            <w:pPr>
              <w:rPr>
                <w:lang w:val="cs-CZ" w:bidi="cs-CZ"/>
              </w:rPr>
            </w:pPr>
            <w:r>
              <w:rPr>
                <w:lang w:val="cs-CZ" w:bidi="cs-CZ"/>
              </w:rPr>
              <w:t>Katedra/Ústav</w:t>
            </w:r>
          </w:p>
        </w:tc>
        <w:tc>
          <w:tcPr>
            <w:tcW w:w="6945" w:type="dxa"/>
            <w:shd w:val="clear" w:color="auto" w:fill="auto"/>
          </w:tcPr>
          <w:p w14:paraId="7E2E5067" w14:textId="77777777" w:rsidR="00A24664" w:rsidRPr="00DB17B2" w:rsidRDefault="00A24664" w:rsidP="00755872">
            <w:pPr>
              <w:rPr>
                <w:b/>
                <w:lang w:val="en-GB"/>
              </w:rPr>
            </w:pPr>
          </w:p>
        </w:tc>
      </w:tr>
      <w:tr w:rsidR="00B27458" w:rsidRPr="00BC3853" w14:paraId="50F014F2" w14:textId="77777777" w:rsidTr="00CE7D71">
        <w:tc>
          <w:tcPr>
            <w:tcW w:w="2694" w:type="dxa"/>
            <w:shd w:val="clear" w:color="auto" w:fill="auto"/>
          </w:tcPr>
          <w:p w14:paraId="38391544" w14:textId="0ED45DEC" w:rsidR="00B27458" w:rsidRPr="004B5CB0" w:rsidRDefault="00B27458" w:rsidP="00755872">
            <w:pPr>
              <w:rPr>
                <w:lang w:val="en-GB"/>
              </w:rPr>
            </w:pPr>
            <w:r w:rsidRPr="004B5CB0">
              <w:rPr>
                <w:lang w:val="en-GB"/>
              </w:rPr>
              <w:t xml:space="preserve">Datum </w:t>
            </w:r>
            <w:proofErr w:type="spellStart"/>
            <w:r w:rsidRPr="004B5CB0">
              <w:rPr>
                <w:lang w:val="en-GB"/>
              </w:rPr>
              <w:t>narození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00F1A268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  <w:tr w:rsidR="00B27458" w:rsidRPr="00BC3853" w14:paraId="2AA7B55A" w14:textId="77777777" w:rsidTr="00CE7D71">
        <w:tc>
          <w:tcPr>
            <w:tcW w:w="2694" w:type="dxa"/>
            <w:shd w:val="clear" w:color="auto" w:fill="auto"/>
          </w:tcPr>
          <w:p w14:paraId="5F107D64" w14:textId="5DAAF2AE" w:rsidR="00B27458" w:rsidRPr="004B5CB0" w:rsidRDefault="00B27458" w:rsidP="00755872">
            <w:pPr>
              <w:rPr>
                <w:lang w:val="en-GB"/>
              </w:rPr>
            </w:pPr>
            <w:proofErr w:type="spellStart"/>
            <w:r w:rsidRPr="004B5CB0">
              <w:rPr>
                <w:lang w:val="en-GB"/>
              </w:rPr>
              <w:t>Trvalé</w:t>
            </w:r>
            <w:proofErr w:type="spellEnd"/>
            <w:r w:rsidRPr="004B5CB0">
              <w:rPr>
                <w:lang w:val="en-GB"/>
              </w:rPr>
              <w:t xml:space="preserve"> </w:t>
            </w:r>
            <w:proofErr w:type="spellStart"/>
            <w:r w:rsidRPr="004B5CB0">
              <w:rPr>
                <w:lang w:val="en-GB"/>
              </w:rPr>
              <w:t>bydliště</w:t>
            </w:r>
            <w:proofErr w:type="spellEnd"/>
            <w:r w:rsidR="007E12CB">
              <w:rPr>
                <w:lang w:val="en-GB"/>
              </w:rPr>
              <w:t xml:space="preserve"> (</w:t>
            </w:r>
            <w:proofErr w:type="spellStart"/>
            <w:r w:rsidR="007E12CB">
              <w:rPr>
                <w:lang w:val="en-GB"/>
              </w:rPr>
              <w:t>adresa</w:t>
            </w:r>
            <w:proofErr w:type="spellEnd"/>
            <w:r w:rsidR="007E12CB">
              <w:rPr>
                <w:lang w:val="en-GB"/>
              </w:rPr>
              <w:t>)</w:t>
            </w:r>
          </w:p>
        </w:tc>
        <w:tc>
          <w:tcPr>
            <w:tcW w:w="6945" w:type="dxa"/>
            <w:shd w:val="clear" w:color="auto" w:fill="auto"/>
          </w:tcPr>
          <w:p w14:paraId="16A748FC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  <w:tr w:rsidR="00B27458" w:rsidRPr="00BC3853" w14:paraId="50776337" w14:textId="77777777" w:rsidTr="00CE7D71">
        <w:tc>
          <w:tcPr>
            <w:tcW w:w="2694" w:type="dxa"/>
            <w:shd w:val="clear" w:color="auto" w:fill="auto"/>
          </w:tcPr>
          <w:p w14:paraId="7EE5144F" w14:textId="77777777" w:rsidR="00B27458" w:rsidRPr="00BC3853" w:rsidRDefault="00B27458" w:rsidP="00755872">
            <w:pPr>
              <w:rPr>
                <w:lang w:val="en-GB"/>
              </w:rPr>
            </w:pPr>
            <w:proofErr w:type="spellStart"/>
            <w:r w:rsidRPr="00BC3853">
              <w:rPr>
                <w:lang w:val="en-GB"/>
              </w:rPr>
              <w:t>Telefon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35491A01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  <w:tr w:rsidR="00B27458" w:rsidRPr="00BC3853" w14:paraId="36F86E10" w14:textId="77777777" w:rsidTr="00CE7D71">
        <w:tc>
          <w:tcPr>
            <w:tcW w:w="2694" w:type="dxa"/>
            <w:shd w:val="clear" w:color="auto" w:fill="auto"/>
          </w:tcPr>
          <w:p w14:paraId="0F26206E" w14:textId="77777777" w:rsidR="00B27458" w:rsidRPr="00BC3853" w:rsidRDefault="00B27458" w:rsidP="00755872">
            <w:pPr>
              <w:rPr>
                <w:lang w:val="en-GB"/>
              </w:rPr>
            </w:pPr>
            <w:r w:rsidRPr="00BC3853">
              <w:rPr>
                <w:lang w:val="en-GB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44B6E192" w14:textId="77777777" w:rsidR="00B27458" w:rsidRPr="00BC3853" w:rsidRDefault="00B27458" w:rsidP="00755872">
            <w:pPr>
              <w:rPr>
                <w:lang w:val="en-GB"/>
              </w:rPr>
            </w:pPr>
          </w:p>
        </w:tc>
      </w:tr>
    </w:tbl>
    <w:p w14:paraId="2210EB57" w14:textId="77777777" w:rsidR="00A24664" w:rsidRDefault="00A24664" w:rsidP="773BE38D">
      <w:pPr>
        <w:jc w:val="both"/>
        <w:rPr>
          <w:lang w:val="cs-CZ" w:bidi="cs-CZ"/>
        </w:rPr>
      </w:pPr>
    </w:p>
    <w:p w14:paraId="1905F6AC" w14:textId="1A82AC19" w:rsidR="00973336" w:rsidRPr="00EA258F" w:rsidRDefault="00FC1183" w:rsidP="773BE38D">
      <w:pPr>
        <w:jc w:val="both"/>
        <w:rPr>
          <w:lang w:val="cs-CZ"/>
        </w:rPr>
      </w:pPr>
      <w:r>
        <w:rPr>
          <w:lang w:val="cs-CZ" w:bidi="cs-CZ"/>
        </w:rPr>
        <w:t>d</w:t>
      </w:r>
      <w:r w:rsidR="2156E4C0" w:rsidRPr="00EA258F">
        <w:rPr>
          <w:lang w:val="cs-CZ" w:bidi="cs-CZ"/>
        </w:rPr>
        <w:t>ále jen „účastník“ na straně druhé</w:t>
      </w:r>
      <w:r w:rsidR="004A4511">
        <w:rPr>
          <w:lang w:val="cs-CZ" w:bidi="cs-CZ"/>
        </w:rPr>
        <w:t>.</w:t>
      </w:r>
    </w:p>
    <w:p w14:paraId="0216BF11" w14:textId="77777777" w:rsidR="00EB04AB" w:rsidRPr="00EA258F" w:rsidRDefault="00EB04AB" w:rsidP="773BE38D">
      <w:pPr>
        <w:jc w:val="both"/>
        <w:rPr>
          <w:lang w:val="cs-CZ" w:bidi="cs-CZ"/>
        </w:rPr>
      </w:pPr>
    </w:p>
    <w:p w14:paraId="46E06DD9" w14:textId="399EB3A7" w:rsidR="00F96310" w:rsidRDefault="004A4511" w:rsidP="773BE38D">
      <w:pPr>
        <w:jc w:val="both"/>
        <w:rPr>
          <w:lang w:val="cs-CZ" w:bidi="cs-CZ"/>
        </w:rPr>
      </w:pPr>
      <w:r>
        <w:rPr>
          <w:lang w:val="cs-CZ" w:bidi="cs-CZ"/>
        </w:rPr>
        <w:t xml:space="preserve">Výše uvedené strany </w:t>
      </w:r>
      <w:r w:rsidR="2156E4C0" w:rsidRPr="009754AD">
        <w:rPr>
          <w:lang w:val="cs-CZ" w:bidi="cs-CZ"/>
        </w:rPr>
        <w:t>se dohodly na</w:t>
      </w:r>
      <w:r w:rsidR="2156E4C0" w:rsidRPr="00EA258F">
        <w:rPr>
          <w:lang w:val="cs-CZ" w:bidi="cs-CZ"/>
        </w:rPr>
        <w:t xml:space="preserve"> </w:t>
      </w:r>
      <w:r>
        <w:rPr>
          <w:lang w:val="cs-CZ" w:bidi="cs-CZ"/>
        </w:rPr>
        <w:t>uzavření</w:t>
      </w:r>
      <w:r w:rsidR="2156E4C0" w:rsidRPr="00EA258F">
        <w:rPr>
          <w:lang w:val="cs-CZ" w:bidi="cs-CZ"/>
        </w:rPr>
        <w:t xml:space="preserve"> této smlouvy</w:t>
      </w:r>
      <w:r w:rsidR="007F4E55">
        <w:rPr>
          <w:lang w:val="cs-CZ" w:bidi="cs-CZ"/>
        </w:rPr>
        <w:t>.</w:t>
      </w:r>
    </w:p>
    <w:p w14:paraId="185ED813" w14:textId="0994128B" w:rsidR="007F4E55" w:rsidRDefault="007F4E55" w:rsidP="773BE38D">
      <w:pPr>
        <w:jc w:val="both"/>
        <w:rPr>
          <w:lang w:val="cs-CZ"/>
        </w:rPr>
      </w:pPr>
    </w:p>
    <w:p w14:paraId="10981679" w14:textId="68A16819" w:rsidR="007F4E55" w:rsidRDefault="007F4E55" w:rsidP="773BE38D">
      <w:pPr>
        <w:jc w:val="both"/>
        <w:rPr>
          <w:lang w:val="cs-CZ"/>
        </w:rPr>
      </w:pPr>
      <w:r>
        <w:rPr>
          <w:lang w:val="cs-CZ"/>
        </w:rPr>
        <w:t>Smlouva je složena:</w:t>
      </w:r>
    </w:p>
    <w:p w14:paraId="13236412" w14:textId="74163768" w:rsidR="007F4E55" w:rsidRPr="00EA258F" w:rsidRDefault="007F4E55" w:rsidP="007F4E55">
      <w:pPr>
        <w:ind w:firstLine="720"/>
        <w:jc w:val="both"/>
        <w:rPr>
          <w:lang w:val="cs-CZ"/>
        </w:rPr>
      </w:pPr>
      <w:r>
        <w:rPr>
          <w:lang w:val="cs-CZ"/>
        </w:rPr>
        <w:t>Ustanovení a podmínky</w:t>
      </w:r>
    </w:p>
    <w:p w14:paraId="6B825C79" w14:textId="00CABF5F" w:rsidR="00613304" w:rsidRPr="00A24664" w:rsidRDefault="00F96310" w:rsidP="00A24664">
      <w:pPr>
        <w:tabs>
          <w:tab w:val="left" w:pos="1701"/>
        </w:tabs>
        <w:ind w:firstLine="720"/>
        <w:jc w:val="both"/>
        <w:rPr>
          <w:lang w:val="cs-CZ"/>
        </w:rPr>
      </w:pPr>
      <w:r w:rsidRPr="00E9776C">
        <w:rPr>
          <w:lang w:val="cs-CZ"/>
        </w:rPr>
        <w:t>Příloha</w:t>
      </w:r>
      <w:r w:rsidRPr="00E9776C">
        <w:rPr>
          <w:lang w:val="cs-CZ" w:bidi="cs-CZ"/>
        </w:rPr>
        <w:t xml:space="preserve"> I</w:t>
      </w:r>
      <w:r w:rsidR="001F47B9">
        <w:rPr>
          <w:lang w:val="cs-CZ" w:bidi="cs-CZ"/>
        </w:rPr>
        <w:tab/>
      </w:r>
      <w:r w:rsidR="00087264" w:rsidRPr="00A24664">
        <w:rPr>
          <w:lang w:val="cs-CZ" w:bidi="cs-CZ"/>
        </w:rPr>
        <w:t>Program mobility</w:t>
      </w:r>
      <w:r w:rsidR="00FD3C4A" w:rsidRPr="00A24664">
        <w:rPr>
          <w:lang w:val="cs-CZ" w:bidi="cs-CZ"/>
        </w:rPr>
        <w:t xml:space="preserve"> zaměstnanců </w:t>
      </w:r>
      <w:r w:rsidR="00087264" w:rsidRPr="00A24664">
        <w:rPr>
          <w:lang w:val="cs-CZ" w:bidi="cs-CZ"/>
        </w:rPr>
        <w:t>na výukový pobyt v rámci programu Erasmus+</w:t>
      </w:r>
    </w:p>
    <w:p w14:paraId="73B3FEF9" w14:textId="108479E5" w:rsidR="00373085" w:rsidRPr="00A24664" w:rsidRDefault="00FD3C4A" w:rsidP="00107AA7">
      <w:pPr>
        <w:tabs>
          <w:tab w:val="left" w:pos="1701"/>
        </w:tabs>
        <w:ind w:left="1701" w:hanging="1701"/>
        <w:rPr>
          <w:lang w:val="cs-CZ" w:bidi="cs-CZ"/>
        </w:rPr>
      </w:pPr>
      <w:r w:rsidRPr="00A24664">
        <w:rPr>
          <w:lang w:val="cs-CZ" w:bidi="cs-CZ"/>
        </w:rPr>
        <w:tab/>
      </w:r>
      <w:r w:rsidR="007E12CB">
        <w:rPr>
          <w:lang w:val="cs-CZ" w:bidi="cs-CZ"/>
        </w:rPr>
        <w:t>n</w:t>
      </w:r>
      <w:r w:rsidR="00A24664">
        <w:rPr>
          <w:lang w:val="cs-CZ" w:bidi="cs-CZ"/>
        </w:rPr>
        <w:t xml:space="preserve">ebo </w:t>
      </w:r>
      <w:r w:rsidR="00087264" w:rsidRPr="00A24664">
        <w:rPr>
          <w:lang w:val="cs-CZ" w:bidi="cs-CZ"/>
        </w:rPr>
        <w:t>Program mobility zaměstnanců na školení v rámci programu Erasmus+</w:t>
      </w:r>
    </w:p>
    <w:p w14:paraId="37865BFF" w14:textId="013988AA" w:rsidR="009256A6" w:rsidRPr="00A24664" w:rsidRDefault="0072742A" w:rsidP="009256A6">
      <w:pPr>
        <w:tabs>
          <w:tab w:val="left" w:pos="1701"/>
        </w:tabs>
        <w:ind w:left="1701" w:hanging="1701"/>
        <w:rPr>
          <w:lang w:val="cs-CZ"/>
        </w:rPr>
      </w:pPr>
      <w:r w:rsidRPr="00A24664">
        <w:rPr>
          <w:lang w:val="cs-CZ"/>
        </w:rPr>
        <w:tab/>
      </w:r>
      <w:r w:rsidR="007E12CB">
        <w:rPr>
          <w:lang w:val="cs-CZ"/>
        </w:rPr>
        <w:t>n</w:t>
      </w:r>
      <w:r w:rsidR="00A24664">
        <w:rPr>
          <w:lang w:val="cs-CZ"/>
        </w:rPr>
        <w:t xml:space="preserve">ebo </w:t>
      </w:r>
      <w:r w:rsidR="009256A6" w:rsidRPr="00A24664">
        <w:rPr>
          <w:lang w:val="cs-CZ"/>
        </w:rPr>
        <w:t>Program mobility zaměstnanců na výukový pobyt a školení</w:t>
      </w:r>
      <w:r w:rsidR="00DC322B" w:rsidRPr="00A24664">
        <w:rPr>
          <w:lang w:val="cs-CZ"/>
        </w:rPr>
        <w:t xml:space="preserve"> </w:t>
      </w:r>
      <w:r w:rsidR="00FC6D8E" w:rsidRPr="00A24664">
        <w:rPr>
          <w:lang w:val="cs-CZ"/>
        </w:rPr>
        <w:t>v rámci programu</w:t>
      </w:r>
      <w:r w:rsidR="009256A6" w:rsidRPr="00A24664">
        <w:rPr>
          <w:lang w:val="cs-CZ"/>
        </w:rPr>
        <w:t xml:space="preserve"> Erasmus+</w:t>
      </w:r>
    </w:p>
    <w:p w14:paraId="5BB4C537" w14:textId="77777777" w:rsidR="00A24664" w:rsidRDefault="00A24664" w:rsidP="773BE38D">
      <w:pPr>
        <w:jc w:val="both"/>
        <w:rPr>
          <w:lang w:val="cs-CZ" w:bidi="cs-CZ"/>
        </w:rPr>
      </w:pPr>
    </w:p>
    <w:p w14:paraId="68CF62F4" w14:textId="152F8959" w:rsidR="00962AA6" w:rsidRPr="00EA258F" w:rsidRDefault="2156E4C0" w:rsidP="773BE38D">
      <w:pPr>
        <w:jc w:val="both"/>
        <w:rPr>
          <w:sz w:val="24"/>
          <w:szCs w:val="24"/>
          <w:lang w:val="cs-CZ" w:bidi="cs-CZ"/>
        </w:rPr>
      </w:pPr>
      <w:r w:rsidRPr="00EA258F">
        <w:rPr>
          <w:lang w:val="cs-CZ" w:bidi="cs-CZ"/>
        </w:rPr>
        <w:t xml:space="preserve">Ustanovení </w:t>
      </w:r>
      <w:r w:rsidR="007F4E55">
        <w:rPr>
          <w:lang w:val="cs-CZ" w:bidi="cs-CZ"/>
        </w:rPr>
        <w:t>a podmínky</w:t>
      </w:r>
      <w:r w:rsidRPr="00EA258F">
        <w:rPr>
          <w:lang w:val="cs-CZ" w:bidi="cs-CZ"/>
        </w:rPr>
        <w:t xml:space="preserve"> mají přednost před ustanoveními v přílohách.</w:t>
      </w:r>
    </w:p>
    <w:p w14:paraId="36D2A708" w14:textId="07B5CE66" w:rsidR="00F92BA8" w:rsidRPr="00A24664" w:rsidRDefault="00051758" w:rsidP="00065470">
      <w:pPr>
        <w:jc w:val="both"/>
        <w:rPr>
          <w:lang w:val="cs-CZ" w:bidi="cs-CZ"/>
        </w:rPr>
      </w:pPr>
      <w:r w:rsidRPr="00A24664">
        <w:rPr>
          <w:lang w:val="cs-CZ" w:bidi="cs-CZ"/>
        </w:rPr>
        <w:t>U přílohy I není nutné posílat originál dokumentu s podpisem: v závislosti na národní legislativě</w:t>
      </w:r>
      <w:r w:rsidR="007F4E55" w:rsidRPr="00A24664">
        <w:rPr>
          <w:lang w:val="cs-CZ" w:bidi="cs-CZ"/>
        </w:rPr>
        <w:t xml:space="preserve"> a institucionálních pře</w:t>
      </w:r>
      <w:r w:rsidR="001F47B9" w:rsidRPr="00A24664">
        <w:rPr>
          <w:lang w:val="cs-CZ" w:bidi="cs-CZ"/>
        </w:rPr>
        <w:t>d</w:t>
      </w:r>
      <w:r w:rsidR="007F4E55" w:rsidRPr="00A24664">
        <w:rPr>
          <w:lang w:val="cs-CZ" w:bidi="cs-CZ"/>
        </w:rPr>
        <w:t>pisech</w:t>
      </w:r>
      <w:r w:rsidRPr="00A24664">
        <w:rPr>
          <w:lang w:val="cs-CZ" w:bidi="cs-CZ"/>
        </w:rPr>
        <w:t xml:space="preserve"> jsou přípustné naskenované kopie podpisů a elektronické podpisy (včetně sítě Erasmus </w:t>
      </w:r>
      <w:proofErr w:type="spellStart"/>
      <w:r w:rsidRPr="00A24664">
        <w:rPr>
          <w:lang w:val="cs-CZ" w:bidi="cs-CZ"/>
        </w:rPr>
        <w:t>without</w:t>
      </w:r>
      <w:proofErr w:type="spellEnd"/>
      <w:r w:rsidRPr="00A24664">
        <w:rPr>
          <w:lang w:val="cs-CZ" w:bidi="cs-CZ"/>
        </w:rPr>
        <w:t xml:space="preserve"> </w:t>
      </w:r>
      <w:proofErr w:type="spellStart"/>
      <w:r w:rsidRPr="00A24664">
        <w:rPr>
          <w:lang w:val="cs-CZ" w:bidi="cs-CZ"/>
        </w:rPr>
        <w:t>Paper</w:t>
      </w:r>
      <w:proofErr w:type="spellEnd"/>
      <w:r w:rsidRPr="00A24664">
        <w:rPr>
          <w:lang w:val="cs-CZ" w:bidi="cs-CZ"/>
        </w:rPr>
        <w:t>).</w:t>
      </w:r>
    </w:p>
    <w:p w14:paraId="76B00AB5" w14:textId="77777777" w:rsidR="00B65DD1" w:rsidRPr="000E0D50" w:rsidRDefault="00B65DD1" w:rsidP="00065470">
      <w:pPr>
        <w:jc w:val="both"/>
        <w:rPr>
          <w:sz w:val="24"/>
          <w:szCs w:val="24"/>
          <w:highlight w:val="cyan"/>
          <w:lang w:val="cs-CZ"/>
        </w:rPr>
      </w:pPr>
    </w:p>
    <w:p w14:paraId="4A5EC169" w14:textId="32A95139" w:rsidR="00D5448C" w:rsidRPr="005E1081" w:rsidRDefault="007D63F5" w:rsidP="2156E4C0">
      <w:pPr>
        <w:jc w:val="center"/>
        <w:rPr>
          <w:b/>
          <w:sz w:val="24"/>
          <w:szCs w:val="24"/>
          <w:lang w:val="cs-CZ"/>
        </w:rPr>
      </w:pPr>
      <w:r w:rsidRPr="005E1081">
        <w:rPr>
          <w:b/>
          <w:sz w:val="24"/>
          <w:szCs w:val="24"/>
          <w:lang w:val="cs-CZ" w:bidi="cs-CZ"/>
        </w:rPr>
        <w:t>USTANOVEN</w:t>
      </w:r>
      <w:r w:rsidR="2156E4C0" w:rsidRPr="005E1081">
        <w:rPr>
          <w:b/>
          <w:sz w:val="24"/>
          <w:szCs w:val="24"/>
          <w:lang w:val="cs-CZ" w:bidi="cs-CZ"/>
        </w:rPr>
        <w:t>Í</w:t>
      </w:r>
      <w:r w:rsidRPr="005E1081">
        <w:rPr>
          <w:b/>
          <w:sz w:val="24"/>
          <w:szCs w:val="24"/>
          <w:lang w:val="cs-CZ" w:bidi="cs-CZ"/>
        </w:rPr>
        <w:t xml:space="preserve"> A</w:t>
      </w:r>
      <w:r w:rsidR="2156E4C0" w:rsidRPr="005E1081">
        <w:rPr>
          <w:b/>
          <w:sz w:val="24"/>
          <w:szCs w:val="24"/>
          <w:lang w:val="cs-CZ" w:bidi="cs-CZ"/>
        </w:rPr>
        <w:t xml:space="preserve"> PODMÍNKY</w:t>
      </w:r>
    </w:p>
    <w:p w14:paraId="302EBB60" w14:textId="77777777" w:rsidR="007A5668" w:rsidRPr="000E0D50" w:rsidRDefault="007A5668" w:rsidP="006720F0">
      <w:pPr>
        <w:jc w:val="center"/>
        <w:rPr>
          <w:sz w:val="24"/>
          <w:szCs w:val="24"/>
          <w:lang w:val="cs-CZ"/>
        </w:rPr>
      </w:pPr>
    </w:p>
    <w:p w14:paraId="0BD730BD" w14:textId="3847C471" w:rsidR="00F96310" w:rsidRPr="000E0D50" w:rsidRDefault="2156E4C0" w:rsidP="2156E4C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 w:rsidRPr="000E0D50">
        <w:rPr>
          <w:sz w:val="20"/>
          <w:lang w:val="cs-CZ" w:bidi="cs-CZ"/>
        </w:rPr>
        <w:t>ČLÁNEK 1 – PŘEDMĚT SMLOUVY</w:t>
      </w:r>
    </w:p>
    <w:p w14:paraId="151844E1" w14:textId="17302052" w:rsidR="00DC322B" w:rsidRDefault="00F96310" w:rsidP="2156E4C0">
      <w:pPr>
        <w:ind w:left="567" w:hanging="567"/>
        <w:jc w:val="both"/>
        <w:rPr>
          <w:lang w:val="cs-CZ" w:bidi="cs-CZ"/>
        </w:rPr>
      </w:pPr>
      <w:r w:rsidRPr="000E0D50">
        <w:rPr>
          <w:lang w:val="cs-CZ" w:bidi="cs-CZ"/>
        </w:rPr>
        <w:t>1.1</w:t>
      </w:r>
      <w:r w:rsidRPr="000E0D50">
        <w:rPr>
          <w:lang w:val="cs-CZ" w:bidi="cs-CZ"/>
        </w:rPr>
        <w:tab/>
      </w:r>
      <w:r w:rsidR="00DC322B" w:rsidRPr="00DC322B">
        <w:rPr>
          <w:lang w:val="cs-CZ" w:bidi="cs-CZ"/>
        </w:rPr>
        <w:t>Smlouva stanoví práva a povinnosti a podmínky vztahující se na finanční podporu udělenou na uskutečnění mobility v rámci programu Erasmus+.</w:t>
      </w:r>
    </w:p>
    <w:p w14:paraId="3B6CDB5A" w14:textId="77777777" w:rsidR="00DC322B" w:rsidRPr="000E0D50" w:rsidRDefault="00F96310" w:rsidP="00DC322B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1.2</w:t>
      </w:r>
      <w:r w:rsidRPr="000E0D50">
        <w:rPr>
          <w:lang w:val="cs-CZ" w:bidi="cs-CZ"/>
        </w:rPr>
        <w:tab/>
      </w:r>
      <w:r w:rsidR="00DC322B" w:rsidRPr="000E0D50">
        <w:rPr>
          <w:lang w:val="cs-CZ" w:bidi="cs-CZ"/>
        </w:rPr>
        <w:t>Organizace poskytne podporu účastníkovi k realizaci mobility v rámci programu Erasmus+.</w:t>
      </w:r>
    </w:p>
    <w:p w14:paraId="0A02B13C" w14:textId="4A276E23" w:rsidR="00CE6FCA" w:rsidRPr="000E0D50" w:rsidRDefault="00DC322B" w:rsidP="2156E4C0">
      <w:pPr>
        <w:ind w:left="567" w:hanging="567"/>
        <w:jc w:val="both"/>
        <w:rPr>
          <w:lang w:val="cs-CZ"/>
        </w:rPr>
      </w:pPr>
      <w:r>
        <w:rPr>
          <w:lang w:val="cs-CZ" w:bidi="cs-CZ"/>
        </w:rPr>
        <w:t>1.3</w:t>
      </w:r>
      <w:r>
        <w:rPr>
          <w:lang w:val="cs-CZ" w:bidi="cs-CZ"/>
        </w:rPr>
        <w:tab/>
      </w:r>
      <w:r w:rsidR="00F96310" w:rsidRPr="000E0D50">
        <w:rPr>
          <w:lang w:val="cs-CZ" w:bidi="cs-CZ"/>
        </w:rPr>
        <w:t>Účastník přijme podporu</w:t>
      </w:r>
      <w:r w:rsidR="00255AA0">
        <w:rPr>
          <w:lang w:val="cs-CZ" w:bidi="cs-CZ"/>
        </w:rPr>
        <w:t xml:space="preserve"> uvedenou</w:t>
      </w:r>
      <w:r w:rsidR="00F96310" w:rsidRPr="000E0D50">
        <w:rPr>
          <w:lang w:val="cs-CZ" w:bidi="cs-CZ"/>
        </w:rPr>
        <w:t xml:space="preserve"> v článku 3 a zavazuje se </w:t>
      </w:r>
      <w:r w:rsidR="00255AA0">
        <w:rPr>
          <w:lang w:val="cs-CZ" w:bidi="cs-CZ"/>
        </w:rPr>
        <w:t>uskutečnit mobilitu,</w:t>
      </w:r>
      <w:r w:rsidR="00F96310" w:rsidRPr="000E0D50">
        <w:rPr>
          <w:lang w:val="cs-CZ" w:bidi="cs-CZ"/>
        </w:rPr>
        <w:t xml:space="preserve"> jak je popsán</w:t>
      </w:r>
      <w:r w:rsidR="00255AA0">
        <w:rPr>
          <w:lang w:val="cs-CZ" w:bidi="cs-CZ"/>
        </w:rPr>
        <w:t>o</w:t>
      </w:r>
      <w:r w:rsidR="00F96310" w:rsidRPr="000E0D50">
        <w:rPr>
          <w:lang w:val="cs-CZ" w:bidi="cs-CZ"/>
        </w:rPr>
        <w:t xml:space="preserve"> v příloze I.</w:t>
      </w:r>
    </w:p>
    <w:p w14:paraId="236724DD" w14:textId="53C1288C" w:rsidR="006B0124" w:rsidRPr="00A24664" w:rsidRDefault="006B0124" w:rsidP="006B0124">
      <w:pPr>
        <w:ind w:left="567" w:hanging="567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cs-CZ"/>
        </w:rPr>
        <w:t>1.</w:t>
      </w:r>
      <w:r w:rsidR="00BE1C33" w:rsidRPr="00A24664">
        <w:rPr>
          <w:color w:val="000000" w:themeColor="text1"/>
          <w:lang w:val="cs-CZ"/>
        </w:rPr>
        <w:t>4</w:t>
      </w:r>
      <w:r w:rsidRPr="00A24664">
        <w:rPr>
          <w:color w:val="000000" w:themeColor="text1"/>
          <w:lang w:val="cs-CZ"/>
        </w:rPr>
        <w:tab/>
        <w:t>Účastník se zavazuje uskutečnit mobilitu na následující organizaci: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A24664" w:rsidRPr="00A24664" w14:paraId="24F7D997" w14:textId="77777777" w:rsidTr="007938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042F" w14:textId="77777777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A24664">
              <w:rPr>
                <w:color w:val="000000" w:themeColor="text1"/>
                <w:lang w:val="en-GB"/>
              </w:rPr>
              <w:t>Název</w:t>
            </w:r>
            <w:proofErr w:type="spellEnd"/>
            <w:r w:rsidRPr="00A2466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A24664">
              <w:rPr>
                <w:color w:val="000000" w:themeColor="text1"/>
                <w:lang w:val="en-GB"/>
              </w:rPr>
              <w:t>přijímající</w:t>
            </w:r>
            <w:proofErr w:type="spellEnd"/>
            <w:r w:rsidRPr="00A24664">
              <w:rPr>
                <w:color w:val="000000" w:themeColor="text1"/>
                <w:lang w:val="en-GB"/>
              </w:rPr>
              <w:t xml:space="preserve"> </w:t>
            </w:r>
            <w:r w:rsidRPr="00A24664">
              <w:rPr>
                <w:color w:val="000000" w:themeColor="text1"/>
                <w:lang w:val="cs-CZ"/>
              </w:rPr>
              <w:t>organizace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702" w14:textId="77777777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</w:p>
        </w:tc>
      </w:tr>
      <w:tr w:rsidR="00A24664" w:rsidRPr="00A24664" w14:paraId="0ADCFA8D" w14:textId="77777777" w:rsidTr="007938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2BB" w14:textId="77DFAB68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  <w:r w:rsidRPr="00A24664">
              <w:rPr>
                <w:color w:val="000000" w:themeColor="text1"/>
                <w:lang w:val="en-GB"/>
              </w:rPr>
              <w:t xml:space="preserve">Erasmus </w:t>
            </w:r>
            <w:proofErr w:type="spellStart"/>
            <w:r w:rsidRPr="00A24664">
              <w:rPr>
                <w:color w:val="000000" w:themeColor="text1"/>
                <w:lang w:val="en-GB"/>
              </w:rPr>
              <w:t>kód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7B6" w14:textId="77777777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</w:p>
        </w:tc>
      </w:tr>
      <w:tr w:rsidR="00A24664" w:rsidRPr="00A24664" w14:paraId="6EB43DFA" w14:textId="77777777" w:rsidTr="007938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A6FF" w14:textId="77777777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  <w:proofErr w:type="spellStart"/>
            <w:r w:rsidRPr="00A24664">
              <w:rPr>
                <w:color w:val="000000" w:themeColor="text1"/>
                <w:lang w:val="en-GB"/>
              </w:rPr>
              <w:t>Země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22F" w14:textId="77777777" w:rsidR="006B0124" w:rsidRPr="00A24664" w:rsidRDefault="006B0124">
            <w:pPr>
              <w:tabs>
                <w:tab w:val="left" w:pos="3402"/>
              </w:tabs>
              <w:jc w:val="both"/>
              <w:rPr>
                <w:color w:val="000000" w:themeColor="text1"/>
                <w:lang w:val="en-GB"/>
              </w:rPr>
            </w:pPr>
          </w:p>
        </w:tc>
      </w:tr>
    </w:tbl>
    <w:p w14:paraId="4D809EAE" w14:textId="32408F4E" w:rsidR="003F7760" w:rsidRPr="00A24664" w:rsidRDefault="003F7760" w:rsidP="00A24664">
      <w:pPr>
        <w:tabs>
          <w:tab w:val="left" w:pos="3402"/>
        </w:tabs>
        <w:ind w:left="567" w:hanging="567"/>
        <w:jc w:val="both"/>
        <w:rPr>
          <w:color w:val="000000" w:themeColor="text1"/>
          <w:lang w:val="en-GB"/>
        </w:rPr>
      </w:pPr>
    </w:p>
    <w:p w14:paraId="6D6A663C" w14:textId="77777777" w:rsidR="007F1FAC" w:rsidRPr="000E0D50" w:rsidRDefault="007F1FAC" w:rsidP="007F1FAC">
      <w:pPr>
        <w:ind w:left="567" w:hanging="567"/>
        <w:jc w:val="both"/>
        <w:rPr>
          <w:lang w:val="cs-CZ"/>
        </w:rPr>
      </w:pPr>
    </w:p>
    <w:p w14:paraId="77CF5427" w14:textId="24984554" w:rsidR="00F96310" w:rsidRPr="000E0D50" w:rsidRDefault="2156E4C0" w:rsidP="2156E4C0">
      <w:pPr>
        <w:pBdr>
          <w:bottom w:val="single" w:sz="6" w:space="1" w:color="auto"/>
        </w:pBdr>
        <w:ind w:left="567" w:hanging="567"/>
        <w:rPr>
          <w:lang w:val="cs-CZ"/>
        </w:rPr>
      </w:pPr>
      <w:r w:rsidRPr="000E0D50">
        <w:rPr>
          <w:lang w:val="cs-CZ" w:bidi="cs-CZ"/>
        </w:rPr>
        <w:lastRenderedPageBreak/>
        <w:t xml:space="preserve">ČLÁNEK 2 – </w:t>
      </w:r>
      <w:r w:rsidRPr="00A24664">
        <w:rPr>
          <w:color w:val="000000" w:themeColor="text1"/>
          <w:lang w:val="cs-CZ" w:bidi="cs-CZ"/>
        </w:rPr>
        <w:t xml:space="preserve">PLATNOST </w:t>
      </w:r>
      <w:r w:rsidR="00403FE7" w:rsidRPr="00A24664">
        <w:rPr>
          <w:color w:val="000000" w:themeColor="text1"/>
          <w:lang w:val="cs-CZ" w:bidi="cs-CZ"/>
        </w:rPr>
        <w:t xml:space="preserve">SMLOUVY </w:t>
      </w:r>
      <w:r w:rsidRPr="00A24664">
        <w:rPr>
          <w:color w:val="000000" w:themeColor="text1"/>
          <w:lang w:val="cs-CZ" w:bidi="cs-CZ"/>
        </w:rPr>
        <w:t xml:space="preserve">A </w:t>
      </w:r>
      <w:r w:rsidR="00403FE7" w:rsidRPr="00A24664">
        <w:rPr>
          <w:color w:val="000000" w:themeColor="text1"/>
          <w:lang w:val="cs-CZ" w:bidi="cs-CZ"/>
        </w:rPr>
        <w:t xml:space="preserve">DÉLKA </w:t>
      </w:r>
      <w:r w:rsidRPr="00A24664">
        <w:rPr>
          <w:color w:val="000000" w:themeColor="text1"/>
          <w:lang w:val="cs-CZ" w:bidi="cs-CZ"/>
        </w:rPr>
        <w:t xml:space="preserve">TRVÁNÍ </w:t>
      </w:r>
      <w:r w:rsidRPr="000E0D50">
        <w:rPr>
          <w:lang w:val="cs-CZ" w:bidi="cs-CZ"/>
        </w:rPr>
        <w:t>MOBILITY</w:t>
      </w:r>
    </w:p>
    <w:p w14:paraId="67DC4777" w14:textId="749DF07E" w:rsidR="00F96310" w:rsidRPr="000E0D50" w:rsidRDefault="00F96310" w:rsidP="2156E4C0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2.1</w:t>
      </w:r>
      <w:r w:rsidRPr="000E0D50">
        <w:rPr>
          <w:lang w:val="cs-CZ" w:bidi="cs-CZ"/>
        </w:rPr>
        <w:tab/>
        <w:t xml:space="preserve">Smlouva </w:t>
      </w:r>
      <w:r w:rsidR="00255AA0">
        <w:rPr>
          <w:lang w:val="cs-CZ" w:bidi="cs-CZ"/>
        </w:rPr>
        <w:t>vstupuje</w:t>
      </w:r>
      <w:r w:rsidR="00255AA0" w:rsidRPr="000E0D50">
        <w:rPr>
          <w:lang w:val="cs-CZ" w:bidi="cs-CZ"/>
        </w:rPr>
        <w:t xml:space="preserve"> </w:t>
      </w:r>
      <w:r w:rsidRPr="000E0D50">
        <w:rPr>
          <w:lang w:val="cs-CZ" w:bidi="cs-CZ"/>
        </w:rPr>
        <w:t>v</w:t>
      </w:r>
      <w:r w:rsidR="008179CB">
        <w:rPr>
          <w:lang w:val="cs-CZ" w:bidi="cs-CZ"/>
        </w:rPr>
        <w:t> </w:t>
      </w:r>
      <w:r w:rsidRPr="00A24664">
        <w:rPr>
          <w:color w:val="000000" w:themeColor="text1"/>
          <w:lang w:val="cs-CZ" w:bidi="cs-CZ"/>
        </w:rPr>
        <w:t>platnost</w:t>
      </w:r>
      <w:r w:rsidR="008179CB" w:rsidRPr="00A24664">
        <w:rPr>
          <w:color w:val="000000" w:themeColor="text1"/>
          <w:lang w:val="cs-CZ" w:bidi="cs-CZ"/>
        </w:rPr>
        <w:t xml:space="preserve"> </w:t>
      </w:r>
      <w:r w:rsidR="008179CB" w:rsidRPr="00A24664">
        <w:rPr>
          <w:color w:val="000000" w:themeColor="text1"/>
          <w:lang w:val="cs-CZ"/>
        </w:rPr>
        <w:t>a účinnost</w:t>
      </w:r>
      <w:r w:rsidRPr="00A24664">
        <w:rPr>
          <w:color w:val="000000" w:themeColor="text1"/>
          <w:lang w:val="cs-CZ" w:bidi="cs-CZ"/>
        </w:rPr>
        <w:t xml:space="preserve"> </w:t>
      </w:r>
      <w:r w:rsidR="00255AA0" w:rsidRPr="00A24664">
        <w:rPr>
          <w:color w:val="000000" w:themeColor="text1"/>
          <w:lang w:val="cs-CZ" w:bidi="cs-CZ"/>
        </w:rPr>
        <w:t xml:space="preserve">dnem </w:t>
      </w:r>
      <w:r w:rsidR="00255AA0">
        <w:rPr>
          <w:lang w:val="cs-CZ" w:bidi="cs-CZ"/>
        </w:rPr>
        <w:t>podpisu poslední z obou stran.</w:t>
      </w:r>
    </w:p>
    <w:p w14:paraId="4F6AD185" w14:textId="4AB96E09" w:rsidR="008179CB" w:rsidRDefault="00F96310" w:rsidP="008179CB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2.2</w:t>
      </w:r>
      <w:r w:rsidRPr="000E0D50">
        <w:rPr>
          <w:lang w:val="cs-CZ" w:bidi="cs-CZ"/>
        </w:rPr>
        <w:tab/>
      </w:r>
      <w:r w:rsidR="00EC498F">
        <w:rPr>
          <w:lang w:val="cs-CZ"/>
        </w:rPr>
        <w:t>Období</w:t>
      </w:r>
      <w:r w:rsidR="008179CB">
        <w:rPr>
          <w:lang w:val="cs-CZ"/>
        </w:rPr>
        <w:t xml:space="preserve"> mobility</w:t>
      </w:r>
      <w:r w:rsidR="00EC498F">
        <w:rPr>
          <w:lang w:val="cs-CZ"/>
        </w:rPr>
        <w:t>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C498F" w:rsidRPr="00311B66" w14:paraId="4DC88A65" w14:textId="77777777" w:rsidTr="002F652C">
        <w:tc>
          <w:tcPr>
            <w:tcW w:w="3261" w:type="dxa"/>
            <w:shd w:val="clear" w:color="auto" w:fill="auto"/>
          </w:tcPr>
          <w:p w14:paraId="330A64FA" w14:textId="77777777" w:rsidR="00EC498F" w:rsidRPr="00BC3853" w:rsidRDefault="00EC498F" w:rsidP="008C135A">
            <w:pPr>
              <w:jc w:val="both"/>
              <w:rPr>
                <w:lang w:val="cs-CZ"/>
              </w:rPr>
            </w:pPr>
            <w:r w:rsidRPr="00BC3853">
              <w:rPr>
                <w:lang w:val="cs-CZ"/>
              </w:rPr>
              <w:t>Datum zahájení mobility</w:t>
            </w:r>
          </w:p>
        </w:tc>
        <w:tc>
          <w:tcPr>
            <w:tcW w:w="5811" w:type="dxa"/>
            <w:shd w:val="clear" w:color="auto" w:fill="auto"/>
          </w:tcPr>
          <w:p w14:paraId="30D09A9F" w14:textId="77777777" w:rsidR="00EC498F" w:rsidRPr="00311B66" w:rsidRDefault="00EC498F" w:rsidP="008C135A">
            <w:pPr>
              <w:jc w:val="both"/>
              <w:rPr>
                <w:lang w:val="cs-CZ"/>
              </w:rPr>
            </w:pPr>
          </w:p>
        </w:tc>
      </w:tr>
      <w:tr w:rsidR="00EC498F" w:rsidRPr="006B0124" w14:paraId="365A003A" w14:textId="77777777" w:rsidTr="002F652C">
        <w:tc>
          <w:tcPr>
            <w:tcW w:w="3261" w:type="dxa"/>
            <w:shd w:val="clear" w:color="auto" w:fill="auto"/>
          </w:tcPr>
          <w:p w14:paraId="21722D38" w14:textId="77777777" w:rsidR="00EC498F" w:rsidRPr="00BC3853" w:rsidRDefault="00EC498F" w:rsidP="008C135A">
            <w:pPr>
              <w:jc w:val="both"/>
              <w:rPr>
                <w:lang w:val="cs-CZ"/>
              </w:rPr>
            </w:pPr>
            <w:r w:rsidRPr="00BC3853">
              <w:rPr>
                <w:lang w:val="cs-CZ"/>
              </w:rPr>
              <w:t>Datum ukončení mobility</w:t>
            </w:r>
          </w:p>
        </w:tc>
        <w:tc>
          <w:tcPr>
            <w:tcW w:w="5811" w:type="dxa"/>
            <w:shd w:val="clear" w:color="auto" w:fill="auto"/>
          </w:tcPr>
          <w:p w14:paraId="343D7FBB" w14:textId="77777777" w:rsidR="00EC498F" w:rsidRPr="006B0124" w:rsidRDefault="00EC498F" w:rsidP="008C135A">
            <w:pPr>
              <w:jc w:val="both"/>
              <w:rPr>
                <w:lang w:val="cs-CZ"/>
              </w:rPr>
            </w:pPr>
          </w:p>
        </w:tc>
      </w:tr>
    </w:tbl>
    <w:p w14:paraId="0F6014BF" w14:textId="30553B87" w:rsidR="00EC498F" w:rsidRDefault="00EC498F" w:rsidP="008179CB">
      <w:pPr>
        <w:ind w:left="567" w:hanging="567"/>
        <w:jc w:val="both"/>
        <w:rPr>
          <w:lang w:val="cs-CZ"/>
        </w:rPr>
      </w:pPr>
      <w:r>
        <w:rPr>
          <w:lang w:val="cs-CZ"/>
        </w:rPr>
        <w:t>2.3</w:t>
      </w:r>
      <w:r>
        <w:rPr>
          <w:lang w:val="cs-CZ"/>
        </w:rPr>
        <w:tab/>
      </w:r>
      <w:r w:rsidRPr="00EC498F">
        <w:rPr>
          <w:lang w:val="cs-CZ"/>
        </w:rPr>
        <w:t>Období, na které se vztahuje smlouva, zahrnuje:</w:t>
      </w:r>
    </w:p>
    <w:tbl>
      <w:tblPr>
        <w:tblW w:w="908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2268"/>
        <w:gridCol w:w="567"/>
        <w:gridCol w:w="2409"/>
        <w:gridCol w:w="12"/>
      </w:tblGrid>
      <w:tr w:rsidR="00293B09" w:rsidRPr="00BC3853" w14:paraId="197179EF" w14:textId="77777777" w:rsidTr="00A24664">
        <w:tc>
          <w:tcPr>
            <w:tcW w:w="3261" w:type="dxa"/>
            <w:shd w:val="clear" w:color="auto" w:fill="auto"/>
          </w:tcPr>
          <w:p w14:paraId="4FF4CC02" w14:textId="2712ABD7" w:rsidR="00293B09" w:rsidRPr="00BC3853" w:rsidRDefault="00293B09" w:rsidP="00755872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Fyzické období mobility</w:t>
            </w:r>
          </w:p>
        </w:tc>
        <w:tc>
          <w:tcPr>
            <w:tcW w:w="567" w:type="dxa"/>
            <w:shd w:val="clear" w:color="auto" w:fill="auto"/>
          </w:tcPr>
          <w:p w14:paraId="2BBFA216" w14:textId="07DABFFB" w:rsidR="00293B09" w:rsidRPr="00311B66" w:rsidRDefault="00293B09" w:rsidP="00755872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71B9F557" w14:textId="77777777" w:rsidR="00293B09" w:rsidRPr="00311B66" w:rsidRDefault="00293B09" w:rsidP="00755872">
            <w:pPr>
              <w:jc w:val="both"/>
              <w:rPr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14:paraId="5C671538" w14:textId="6AC9273F" w:rsidR="00293B09" w:rsidRPr="00311B66" w:rsidRDefault="00293B09" w:rsidP="00755872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do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7D4349C1" w14:textId="15399072" w:rsidR="00293B09" w:rsidRPr="00311B66" w:rsidRDefault="00293B09" w:rsidP="00755872">
            <w:pPr>
              <w:jc w:val="both"/>
              <w:rPr>
                <w:lang w:val="cs-CZ"/>
              </w:rPr>
            </w:pPr>
          </w:p>
        </w:tc>
      </w:tr>
      <w:tr w:rsidR="008179CB" w:rsidRPr="00BC3853" w14:paraId="7F839547" w14:textId="77777777" w:rsidTr="00A24664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315F9360" w14:textId="0BA7FDFF" w:rsidR="008179CB" w:rsidRPr="00BC3853" w:rsidRDefault="00A42598" w:rsidP="004B1977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Fyzické období mobility</w:t>
            </w:r>
            <w:r w:rsidR="004B1977">
              <w:rPr>
                <w:lang w:val="cs-CZ"/>
              </w:rPr>
              <w:t xml:space="preserve"> </w:t>
            </w:r>
            <w:r w:rsidR="00EF3C6D">
              <w:rPr>
                <w:lang w:val="cs-CZ"/>
              </w:rPr>
              <w:t>(počet dní)</w:t>
            </w:r>
          </w:p>
        </w:tc>
        <w:tc>
          <w:tcPr>
            <w:tcW w:w="58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A5A3A4" w14:textId="47ED35F1" w:rsidR="008179CB" w:rsidRPr="006B0124" w:rsidRDefault="00C75D13" w:rsidP="00755872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X</w:t>
            </w:r>
          </w:p>
        </w:tc>
      </w:tr>
      <w:tr w:rsidR="00A42598" w14:paraId="2F8EC983" w14:textId="77777777" w:rsidTr="00A24664">
        <w:trPr>
          <w:gridAfter w:val="1"/>
          <w:wAfter w:w="12" w:type="dxa"/>
        </w:trPr>
        <w:tc>
          <w:tcPr>
            <w:tcW w:w="3261" w:type="dxa"/>
            <w:shd w:val="clear" w:color="auto" w:fill="auto"/>
          </w:tcPr>
          <w:p w14:paraId="52FA8664" w14:textId="77777777" w:rsidR="00A42598" w:rsidRPr="00A24664" w:rsidRDefault="00A42598" w:rsidP="008C135A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Financované dny na cestu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70029EB0" w14:textId="2808D8B0" w:rsidR="00A42598" w:rsidRPr="00A24664" w:rsidRDefault="00C75D13" w:rsidP="008C135A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X</w:t>
            </w:r>
          </w:p>
        </w:tc>
      </w:tr>
      <w:tr w:rsidR="00C75D13" w14:paraId="62D9536D" w14:textId="77777777" w:rsidTr="00A24664">
        <w:trPr>
          <w:gridAfter w:val="1"/>
          <w:wAfter w:w="12" w:type="dxa"/>
        </w:trPr>
        <w:tc>
          <w:tcPr>
            <w:tcW w:w="3261" w:type="dxa"/>
            <w:shd w:val="clear" w:color="auto" w:fill="auto"/>
          </w:tcPr>
          <w:p w14:paraId="13D57EEF" w14:textId="77777777" w:rsidR="00C75D13" w:rsidRPr="00A24664" w:rsidRDefault="00C75D13" w:rsidP="008C135A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Virtuální část mobility</w:t>
            </w:r>
          </w:p>
        </w:tc>
        <w:tc>
          <w:tcPr>
            <w:tcW w:w="567" w:type="dxa"/>
            <w:shd w:val="clear" w:color="auto" w:fill="auto"/>
          </w:tcPr>
          <w:p w14:paraId="4123CC60" w14:textId="77777777" w:rsidR="00C75D13" w:rsidRPr="00A24664" w:rsidRDefault="00C75D13" w:rsidP="008C135A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od</w:t>
            </w:r>
          </w:p>
        </w:tc>
        <w:tc>
          <w:tcPr>
            <w:tcW w:w="2268" w:type="dxa"/>
            <w:shd w:val="clear" w:color="auto" w:fill="auto"/>
          </w:tcPr>
          <w:p w14:paraId="156454BF" w14:textId="77777777" w:rsidR="00C75D13" w:rsidRPr="00A24664" w:rsidRDefault="00C75D13" w:rsidP="004B1977">
            <w:pPr>
              <w:ind w:left="33" w:hanging="33"/>
              <w:jc w:val="both"/>
              <w:rPr>
                <w:lang w:val="cs-CZ"/>
              </w:rPr>
            </w:pPr>
          </w:p>
        </w:tc>
        <w:tc>
          <w:tcPr>
            <w:tcW w:w="567" w:type="dxa"/>
            <w:shd w:val="clear" w:color="auto" w:fill="auto"/>
          </w:tcPr>
          <w:p w14:paraId="4513DD02" w14:textId="1A6A63C4" w:rsidR="00C75D13" w:rsidRPr="00A24664" w:rsidRDefault="00C75D13" w:rsidP="008C135A">
            <w:pPr>
              <w:jc w:val="both"/>
              <w:rPr>
                <w:lang w:val="cs-CZ"/>
              </w:rPr>
            </w:pPr>
            <w:r w:rsidRPr="00A24664">
              <w:rPr>
                <w:lang w:val="cs-CZ"/>
              </w:rPr>
              <w:t>do</w:t>
            </w:r>
          </w:p>
        </w:tc>
        <w:tc>
          <w:tcPr>
            <w:tcW w:w="2409" w:type="dxa"/>
            <w:shd w:val="clear" w:color="auto" w:fill="auto"/>
          </w:tcPr>
          <w:p w14:paraId="00735039" w14:textId="09EC1665" w:rsidR="00C75D13" w:rsidRPr="00A24664" w:rsidRDefault="00C75D13" w:rsidP="008C135A">
            <w:pPr>
              <w:jc w:val="both"/>
              <w:rPr>
                <w:lang w:val="cs-CZ"/>
              </w:rPr>
            </w:pPr>
          </w:p>
        </w:tc>
      </w:tr>
      <w:tr w:rsidR="00875A10" w:rsidRPr="00875A10" w14:paraId="16D334EE" w14:textId="77777777" w:rsidTr="00A24664">
        <w:trPr>
          <w:gridAfter w:val="1"/>
          <w:wAfter w:w="12" w:type="dxa"/>
        </w:trPr>
        <w:tc>
          <w:tcPr>
            <w:tcW w:w="3261" w:type="dxa"/>
            <w:shd w:val="clear" w:color="auto" w:fill="auto"/>
          </w:tcPr>
          <w:p w14:paraId="466269B2" w14:textId="77777777" w:rsidR="00A42598" w:rsidRPr="00A24664" w:rsidRDefault="00A42598" w:rsidP="008C135A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Další informace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487DA296" w14:textId="4DB55D8B" w:rsidR="00A42598" w:rsidRPr="00A24664" w:rsidRDefault="00A42598" w:rsidP="008C135A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Např.</w:t>
            </w:r>
            <w:r w:rsidR="000546A4" w:rsidRPr="00A24664">
              <w:rPr>
                <w:color w:val="000000" w:themeColor="text1"/>
                <w:lang w:val="cs-CZ"/>
              </w:rPr>
              <w:t xml:space="preserve"> období</w:t>
            </w:r>
            <w:r w:rsidRPr="00A24664">
              <w:rPr>
                <w:color w:val="000000" w:themeColor="text1"/>
                <w:lang w:val="cs-CZ"/>
              </w:rPr>
              <w:t xml:space="preserve"> přerušení, </w:t>
            </w:r>
            <w:r w:rsidR="00875A10" w:rsidRPr="00A24664">
              <w:rPr>
                <w:color w:val="000000" w:themeColor="text1"/>
                <w:lang w:val="cs-CZ"/>
              </w:rPr>
              <w:t xml:space="preserve">období </w:t>
            </w:r>
            <w:proofErr w:type="spellStart"/>
            <w:r w:rsidRPr="00A24664">
              <w:rPr>
                <w:color w:val="000000" w:themeColor="text1"/>
                <w:lang w:val="cs-CZ"/>
              </w:rPr>
              <w:t>zero</w:t>
            </w:r>
            <w:proofErr w:type="spellEnd"/>
            <w:r w:rsidRPr="00A24664">
              <w:rPr>
                <w:color w:val="000000" w:themeColor="text1"/>
                <w:lang w:val="cs-CZ"/>
              </w:rPr>
              <w:t>-grant</w:t>
            </w:r>
            <w:r w:rsidR="000D148A" w:rsidRPr="00A24664">
              <w:rPr>
                <w:color w:val="000000" w:themeColor="text1"/>
                <w:lang w:val="cs-CZ"/>
              </w:rPr>
              <w:t xml:space="preserve">, </w:t>
            </w:r>
            <w:r w:rsidR="00CD6470" w:rsidRPr="00A24664">
              <w:rPr>
                <w:color w:val="000000" w:themeColor="text1"/>
                <w:lang w:val="cs-CZ"/>
              </w:rPr>
              <w:t>období</w:t>
            </w:r>
            <w:r w:rsidR="000D148A" w:rsidRPr="00A24664">
              <w:rPr>
                <w:color w:val="000000" w:themeColor="text1"/>
                <w:lang w:val="cs-CZ"/>
              </w:rPr>
              <w:t xml:space="preserve"> financované z jiné podpory</w:t>
            </w:r>
            <w:r w:rsidRPr="00A24664">
              <w:rPr>
                <w:color w:val="000000" w:themeColor="text1"/>
                <w:lang w:val="cs-CZ"/>
              </w:rPr>
              <w:t xml:space="preserve"> a další vysvětlivky</w:t>
            </w:r>
            <w:r w:rsidR="00CD6470" w:rsidRPr="00A24664">
              <w:rPr>
                <w:color w:val="000000" w:themeColor="text1"/>
                <w:lang w:val="cs-CZ"/>
              </w:rPr>
              <w:t xml:space="preserve"> (</w:t>
            </w:r>
            <w:r w:rsidRPr="00A24664">
              <w:rPr>
                <w:color w:val="000000" w:themeColor="text1"/>
                <w:lang w:val="cs-CZ"/>
              </w:rPr>
              <w:t xml:space="preserve">pokud počet </w:t>
            </w:r>
            <w:r w:rsidR="0054262A" w:rsidRPr="00A24664">
              <w:rPr>
                <w:color w:val="000000" w:themeColor="text1"/>
                <w:lang w:val="cs-CZ"/>
              </w:rPr>
              <w:t>dní fyzického období mobility + financované dny na cestu neodpovídá</w:t>
            </w:r>
            <w:r w:rsidRPr="00A24664">
              <w:rPr>
                <w:color w:val="000000" w:themeColor="text1"/>
                <w:lang w:val="cs-CZ"/>
              </w:rPr>
              <w:t xml:space="preserve"> </w:t>
            </w:r>
            <w:r w:rsidR="00CD6470" w:rsidRPr="00A24664">
              <w:rPr>
                <w:color w:val="000000" w:themeColor="text1"/>
                <w:lang w:val="cs-CZ"/>
              </w:rPr>
              <w:t xml:space="preserve">počtu dní finanční podpory ze zdroje EU Erasmus+ v </w:t>
            </w:r>
            <w:r w:rsidRPr="00A24664">
              <w:rPr>
                <w:color w:val="000000" w:themeColor="text1"/>
                <w:lang w:val="cs-CZ"/>
              </w:rPr>
              <w:t xml:space="preserve">článku </w:t>
            </w:r>
            <w:r w:rsidR="0054262A" w:rsidRPr="00A24664">
              <w:rPr>
                <w:color w:val="000000" w:themeColor="text1"/>
                <w:lang w:val="cs-CZ"/>
              </w:rPr>
              <w:t>3</w:t>
            </w:r>
            <w:r w:rsidRPr="00A24664">
              <w:rPr>
                <w:color w:val="000000" w:themeColor="text1"/>
                <w:lang w:val="cs-CZ"/>
              </w:rPr>
              <w:t>.</w:t>
            </w:r>
            <w:r w:rsidR="0054262A" w:rsidRPr="00A24664">
              <w:rPr>
                <w:color w:val="000000" w:themeColor="text1"/>
                <w:lang w:val="cs-CZ"/>
              </w:rPr>
              <w:t>2</w:t>
            </w:r>
            <w:r w:rsidR="00433272" w:rsidRPr="00A24664">
              <w:rPr>
                <w:color w:val="000000" w:themeColor="text1"/>
                <w:lang w:val="cs-CZ"/>
              </w:rPr>
              <w:t>).</w:t>
            </w:r>
          </w:p>
        </w:tc>
      </w:tr>
    </w:tbl>
    <w:p w14:paraId="7E3B5C5E" w14:textId="2684F4BE" w:rsidR="007F1FAC" w:rsidRDefault="007F1FAC" w:rsidP="007F1FAC">
      <w:pPr>
        <w:ind w:left="567" w:hanging="567"/>
        <w:jc w:val="both"/>
        <w:rPr>
          <w:lang w:val="cs-CZ"/>
        </w:rPr>
      </w:pPr>
    </w:p>
    <w:p w14:paraId="77F27C85" w14:textId="1C03FEDF" w:rsidR="00F96310" w:rsidRPr="000E0D50" w:rsidRDefault="2156E4C0" w:rsidP="69C50224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 w:rsidRPr="000E0D50">
        <w:rPr>
          <w:sz w:val="20"/>
          <w:lang w:val="cs-CZ" w:bidi="cs-CZ"/>
        </w:rPr>
        <w:t xml:space="preserve">ČLÁNEK 3 </w:t>
      </w:r>
      <w:r w:rsidRPr="000E0D50">
        <w:rPr>
          <w:lang w:val="cs-CZ" w:bidi="cs-CZ"/>
        </w:rPr>
        <w:t>–</w:t>
      </w:r>
      <w:r w:rsidRPr="000E0D50">
        <w:rPr>
          <w:sz w:val="20"/>
          <w:lang w:val="cs-CZ" w:bidi="cs-CZ"/>
        </w:rPr>
        <w:t xml:space="preserve"> FINANČNÍ PODPORA</w:t>
      </w:r>
    </w:p>
    <w:p w14:paraId="52D6BA04" w14:textId="0F15E3D3" w:rsidR="00D01429" w:rsidRDefault="00322E1A" w:rsidP="00D01429">
      <w:pPr>
        <w:tabs>
          <w:tab w:val="left" w:pos="567"/>
        </w:tabs>
        <w:ind w:left="567" w:hanging="567"/>
        <w:jc w:val="both"/>
        <w:rPr>
          <w:color w:val="00B050"/>
          <w:lang w:val="cs-CZ"/>
        </w:rPr>
      </w:pPr>
      <w:r w:rsidRPr="000E0D50">
        <w:rPr>
          <w:lang w:val="cs-CZ" w:bidi="cs-CZ"/>
        </w:rPr>
        <w:t>3.</w:t>
      </w:r>
      <w:r w:rsidR="00015E32">
        <w:rPr>
          <w:lang w:val="cs-CZ" w:bidi="cs-CZ"/>
        </w:rPr>
        <w:t>1</w:t>
      </w:r>
      <w:r w:rsidRPr="000E0D50">
        <w:rPr>
          <w:lang w:val="cs-CZ" w:bidi="cs-CZ"/>
        </w:rPr>
        <w:tab/>
      </w:r>
      <w:r w:rsidR="00D01429" w:rsidRPr="000E0D50">
        <w:rPr>
          <w:lang w:val="cs-CZ" w:bidi="cs-CZ"/>
        </w:rPr>
        <w:t xml:space="preserve">Finanční podpora se vypočítá podle pravidel financování uvedených v </w:t>
      </w:r>
      <w:r w:rsidR="00D01429">
        <w:rPr>
          <w:lang w:val="cs-CZ" w:bidi="cs-CZ"/>
        </w:rPr>
        <w:t>příručce</w:t>
      </w:r>
      <w:r w:rsidR="00D01429" w:rsidRPr="000E0D50">
        <w:rPr>
          <w:lang w:val="cs-CZ" w:bidi="cs-CZ"/>
        </w:rPr>
        <w:t xml:space="preserve"> program</w:t>
      </w:r>
      <w:r w:rsidR="00D01429">
        <w:rPr>
          <w:lang w:val="cs-CZ" w:bidi="cs-CZ"/>
        </w:rPr>
        <w:t>u</w:t>
      </w:r>
      <w:r w:rsidR="00D01429" w:rsidRPr="000E0D50">
        <w:rPr>
          <w:lang w:val="cs-CZ" w:bidi="cs-CZ"/>
        </w:rPr>
        <w:t xml:space="preserve"> Erasmus+</w:t>
      </w:r>
      <w:r w:rsidR="0021125A">
        <w:rPr>
          <w:lang w:val="cs-CZ" w:bidi="cs-CZ"/>
        </w:rPr>
        <w:t>, Výzva</w:t>
      </w:r>
      <w:r w:rsidR="00A20BD9">
        <w:rPr>
          <w:lang w:val="cs-CZ" w:bidi="cs-CZ"/>
        </w:rPr>
        <w:t xml:space="preserve"> 2023</w:t>
      </w:r>
      <w:r w:rsidR="00D01429" w:rsidRPr="000E0D50">
        <w:rPr>
          <w:lang w:val="cs-CZ" w:bidi="cs-CZ"/>
        </w:rPr>
        <w:t>.</w:t>
      </w:r>
      <w:r w:rsidR="00D01429">
        <w:rPr>
          <w:lang w:val="cs-CZ" w:bidi="cs-CZ"/>
        </w:rPr>
        <w:t xml:space="preserve"> </w:t>
      </w:r>
    </w:p>
    <w:p w14:paraId="7790613C" w14:textId="52F192A1" w:rsidR="00015E32" w:rsidRPr="00A24664" w:rsidRDefault="000233EB" w:rsidP="00015E32">
      <w:pPr>
        <w:tabs>
          <w:tab w:val="left" w:pos="567"/>
        </w:tabs>
        <w:jc w:val="both"/>
        <w:rPr>
          <w:lang w:val="cs-CZ" w:bidi="cs-CZ"/>
        </w:rPr>
      </w:pPr>
      <w:r>
        <w:rPr>
          <w:lang w:val="cs-CZ" w:bidi="cs-CZ"/>
        </w:rPr>
        <w:t>3.</w:t>
      </w:r>
      <w:r w:rsidR="00015E32">
        <w:rPr>
          <w:lang w:val="cs-CZ" w:bidi="cs-CZ"/>
        </w:rPr>
        <w:t>2</w:t>
      </w:r>
      <w:r>
        <w:rPr>
          <w:lang w:val="cs-CZ" w:bidi="cs-CZ"/>
        </w:rPr>
        <w:tab/>
      </w:r>
      <w:r w:rsidR="00015E32" w:rsidRPr="009B5B5F">
        <w:rPr>
          <w:lang w:val="cs-CZ" w:bidi="cs-CZ"/>
        </w:rPr>
        <w:t>Účastník obdrží</w:t>
      </w:r>
      <w:r w:rsidR="00A20BD9">
        <w:rPr>
          <w:lang w:val="cs-CZ" w:bidi="cs-CZ"/>
        </w:rPr>
        <w:t>:</w:t>
      </w:r>
    </w:p>
    <w:p w14:paraId="78EF2112" w14:textId="77777777" w:rsidR="00015E32" w:rsidRPr="001B5C9D" w:rsidRDefault="00015E32" w:rsidP="00015E32">
      <w:pPr>
        <w:tabs>
          <w:tab w:val="left" w:pos="993"/>
        </w:tabs>
        <w:ind w:left="567"/>
        <w:jc w:val="both"/>
        <w:rPr>
          <w:lang w:val="cs-CZ"/>
        </w:rPr>
      </w:pPr>
      <w:r w:rsidRPr="00A24664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B5C9D">
        <w:rPr>
          <w:lang w:val="cs-CZ"/>
        </w:rPr>
        <w:instrText xml:space="preserve"> FORMCHECKBOX </w:instrText>
      </w:r>
      <w:r w:rsidR="0049643E">
        <w:rPr>
          <w:lang w:val="en-GB"/>
        </w:rPr>
      </w:r>
      <w:r w:rsidR="0049643E">
        <w:rPr>
          <w:lang w:val="en-GB"/>
        </w:rPr>
        <w:fldChar w:fldCharType="separate"/>
      </w:r>
      <w:r w:rsidRPr="00A24664">
        <w:rPr>
          <w:lang w:val="en-GB"/>
        </w:rPr>
        <w:fldChar w:fldCharType="end"/>
      </w:r>
      <w:r w:rsidRPr="001B5C9D">
        <w:rPr>
          <w:lang w:val="cs-CZ"/>
        </w:rPr>
        <w:tab/>
        <w:t xml:space="preserve">Finanční podporu ze zdroje EU </w:t>
      </w:r>
      <w:r w:rsidRPr="00A24664">
        <w:rPr>
          <w:lang w:val="cs-CZ" w:bidi="cs-CZ"/>
        </w:rPr>
        <w:t>Erasmus+</w:t>
      </w:r>
    </w:p>
    <w:p w14:paraId="08D4AD7F" w14:textId="77777777" w:rsidR="00015E32" w:rsidRPr="001B5C9D" w:rsidRDefault="00015E32" w:rsidP="00015E32">
      <w:pPr>
        <w:tabs>
          <w:tab w:val="left" w:pos="993"/>
          <w:tab w:val="left" w:pos="3402"/>
          <w:tab w:val="left" w:pos="3828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B5C9D">
        <w:rPr>
          <w:lang w:val="cs-CZ"/>
        </w:rPr>
        <w:instrText xml:space="preserve"> FORMCHECKBOX </w:instrText>
      </w:r>
      <w:r w:rsidR="0049643E">
        <w:rPr>
          <w:lang w:val="en-GB"/>
        </w:rPr>
      </w:r>
      <w:r w:rsidR="0049643E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1B5C9D">
        <w:rPr>
          <w:lang w:val="cs-CZ"/>
        </w:rPr>
        <w:tab/>
        <w:t>Nulový grant (</w:t>
      </w:r>
      <w:proofErr w:type="spellStart"/>
      <w:r w:rsidRPr="001B5C9D">
        <w:rPr>
          <w:lang w:val="cs-CZ"/>
        </w:rPr>
        <w:t>zero</w:t>
      </w:r>
      <w:proofErr w:type="spellEnd"/>
      <w:r w:rsidRPr="001B5C9D">
        <w:rPr>
          <w:lang w:val="cs-CZ"/>
        </w:rPr>
        <w:t>-grant)</w:t>
      </w:r>
    </w:p>
    <w:p w14:paraId="6210A1A6" w14:textId="6D121DAA" w:rsidR="00015E32" w:rsidRPr="001B5C9D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B5C9D">
        <w:rPr>
          <w:color w:val="000000" w:themeColor="text1"/>
          <w:lang w:val="cs-CZ"/>
        </w:rPr>
        <w:instrText xml:space="preserve"> FORMCHECKBOX </w:instrText>
      </w:r>
      <w:r w:rsidR="0049643E">
        <w:rPr>
          <w:color w:val="000000" w:themeColor="text1"/>
          <w:lang w:val="en-GB"/>
        </w:rPr>
      </w:r>
      <w:r w:rsidR="0049643E">
        <w:rPr>
          <w:color w:val="000000" w:themeColor="text1"/>
          <w:lang w:val="en-GB"/>
        </w:rPr>
        <w:fldChar w:fldCharType="separate"/>
      </w:r>
      <w:r w:rsidRPr="00A24664">
        <w:rPr>
          <w:color w:val="000000" w:themeColor="text1"/>
          <w:lang w:val="en-GB"/>
        </w:rPr>
        <w:fldChar w:fldCharType="end"/>
      </w:r>
      <w:r w:rsidRPr="001B5C9D">
        <w:rPr>
          <w:color w:val="000000" w:themeColor="text1"/>
          <w:lang w:val="cs-CZ"/>
        </w:rPr>
        <w:tab/>
        <w:t>Finanční podporu ze zdroje EU Erasmus+ v kombinaci s nulovým grantem</w:t>
      </w:r>
      <w:r w:rsidR="00CC43A0" w:rsidRPr="001B5C9D">
        <w:rPr>
          <w:color w:val="000000" w:themeColor="text1"/>
          <w:lang w:val="cs-CZ"/>
        </w:rPr>
        <w:t xml:space="preserve"> </w:t>
      </w:r>
    </w:p>
    <w:p w14:paraId="33164635" w14:textId="77777777" w:rsidR="00015E32" w:rsidRPr="00A24664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highlight w:val="cyan"/>
          <w:lang w:val="cs-CZ" w:bidi="cs-CZ"/>
        </w:rPr>
      </w:pPr>
      <w:r w:rsidRPr="00A24664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B5C9D">
        <w:rPr>
          <w:color w:val="000000" w:themeColor="text1"/>
          <w:lang w:val="cs-CZ"/>
        </w:rPr>
        <w:instrText xml:space="preserve"> FORMCHECKBOX </w:instrText>
      </w:r>
      <w:r w:rsidR="0049643E">
        <w:rPr>
          <w:color w:val="000000" w:themeColor="text1"/>
          <w:lang w:val="en-GB"/>
        </w:rPr>
      </w:r>
      <w:r w:rsidR="0049643E">
        <w:rPr>
          <w:color w:val="000000" w:themeColor="text1"/>
          <w:lang w:val="en-GB"/>
        </w:rPr>
        <w:fldChar w:fldCharType="separate"/>
      </w:r>
      <w:r w:rsidRPr="00A24664">
        <w:rPr>
          <w:color w:val="000000" w:themeColor="text1"/>
          <w:lang w:val="en-GB"/>
        </w:rPr>
        <w:fldChar w:fldCharType="end"/>
      </w:r>
      <w:r w:rsidRPr="001B5C9D">
        <w:rPr>
          <w:color w:val="000000" w:themeColor="text1"/>
          <w:lang w:val="cs-CZ"/>
        </w:rPr>
        <w:tab/>
        <w:t>Finanční podporu ze zdroje EU Erasmus+ v kombinaci s grantem z jiného zdroje</w:t>
      </w:r>
    </w:p>
    <w:p w14:paraId="78901E1E" w14:textId="77777777" w:rsidR="00015E32" w:rsidRPr="00A24664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24664">
        <w:rPr>
          <w:color w:val="000000" w:themeColor="text1"/>
          <w:lang w:val="es-ES"/>
        </w:rPr>
        <w:instrText xml:space="preserve"> FORMCHECKBOX </w:instrText>
      </w:r>
      <w:r w:rsidR="0049643E">
        <w:rPr>
          <w:color w:val="000000" w:themeColor="text1"/>
          <w:lang w:val="en-GB"/>
        </w:rPr>
      </w:r>
      <w:r w:rsidR="0049643E">
        <w:rPr>
          <w:color w:val="000000" w:themeColor="text1"/>
          <w:lang w:val="en-GB"/>
        </w:rPr>
        <w:fldChar w:fldCharType="separate"/>
      </w:r>
      <w:r w:rsidRPr="00A24664">
        <w:rPr>
          <w:color w:val="000000" w:themeColor="text1"/>
          <w:lang w:val="en-GB"/>
        </w:rPr>
        <w:fldChar w:fldCharType="end"/>
      </w:r>
      <w:r w:rsidRPr="00A24664">
        <w:rPr>
          <w:color w:val="000000" w:themeColor="text1"/>
          <w:lang w:val="es-ES"/>
        </w:rPr>
        <w:tab/>
        <w:t>Finanční podporu z jiného než EU Erasmus+ zdroje</w:t>
      </w:r>
    </w:p>
    <w:p w14:paraId="4BE04DF3" w14:textId="3D038D31" w:rsidR="00015E32" w:rsidRPr="00A24664" w:rsidRDefault="00015E32" w:rsidP="00015E32">
      <w:pPr>
        <w:tabs>
          <w:tab w:val="left" w:pos="993"/>
        </w:tabs>
        <w:ind w:left="567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24664">
        <w:rPr>
          <w:color w:val="000000" w:themeColor="text1"/>
          <w:lang w:val="cs-CZ"/>
        </w:rPr>
        <w:instrText xml:space="preserve"> FORMCHECKBOX </w:instrText>
      </w:r>
      <w:r w:rsidR="0049643E">
        <w:rPr>
          <w:color w:val="000000" w:themeColor="text1"/>
          <w:lang w:val="en-GB"/>
        </w:rPr>
      </w:r>
      <w:r w:rsidR="0049643E">
        <w:rPr>
          <w:color w:val="000000" w:themeColor="text1"/>
          <w:lang w:val="en-GB"/>
        </w:rPr>
        <w:fldChar w:fldCharType="separate"/>
      </w:r>
      <w:r w:rsidRPr="00A24664">
        <w:rPr>
          <w:color w:val="000000" w:themeColor="text1"/>
          <w:lang w:val="en-GB"/>
        </w:rPr>
        <w:fldChar w:fldCharType="end"/>
      </w:r>
      <w:r w:rsidRPr="00A24664">
        <w:rPr>
          <w:color w:val="000000" w:themeColor="text1"/>
          <w:lang w:val="cs-CZ"/>
        </w:rPr>
        <w:tab/>
        <w:t>Finanční podporu z jiného než EU Erasmus+ zdroje v kombinaci s nulovým grantem</w:t>
      </w:r>
    </w:p>
    <w:p w14:paraId="39608883" w14:textId="6FC91367" w:rsidR="000D148A" w:rsidRPr="00A24664" w:rsidRDefault="007735B4" w:rsidP="00015E32">
      <w:pPr>
        <w:tabs>
          <w:tab w:val="left" w:pos="993"/>
        </w:tabs>
        <w:ind w:left="567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cs-CZ"/>
        </w:rPr>
        <w:t>Účastník obdrží finanční podporu</w:t>
      </w:r>
      <w:r w:rsidR="000546A4" w:rsidRPr="00A24664">
        <w:rPr>
          <w:color w:val="000000" w:themeColor="text1"/>
          <w:lang w:val="cs-CZ"/>
        </w:rPr>
        <w:t xml:space="preserve"> v tomto složení</w:t>
      </w:r>
      <w:r w:rsidR="009953EA" w:rsidRPr="00A24664">
        <w:rPr>
          <w:color w:val="000000" w:themeColor="text1"/>
          <w:lang w:val="cs-CZ"/>
        </w:rPr>
        <w:t xml:space="preserve"> (dny)</w:t>
      </w:r>
      <w:r w:rsidR="000546A4" w:rsidRPr="00A24664">
        <w:rPr>
          <w:color w:val="000000" w:themeColor="text1"/>
          <w:lang w:val="cs-CZ"/>
        </w:rPr>
        <w:t>: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3543"/>
        <w:gridCol w:w="1701"/>
      </w:tblGrid>
      <w:tr w:rsidR="00A24664" w:rsidRPr="00A24664" w14:paraId="75F1F391" w14:textId="77777777" w:rsidTr="005576BA">
        <w:tc>
          <w:tcPr>
            <w:tcW w:w="2268" w:type="dxa"/>
            <w:vMerge w:val="restart"/>
            <w:shd w:val="clear" w:color="auto" w:fill="auto"/>
          </w:tcPr>
          <w:p w14:paraId="4EC4392B" w14:textId="277C97F9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bookmarkStart w:id="1" w:name="_Hlk142478148"/>
            <w:bookmarkStart w:id="2" w:name="_Hlk142646017"/>
            <w:r w:rsidRPr="00A24664">
              <w:rPr>
                <w:color w:val="000000" w:themeColor="text1"/>
                <w:lang w:val="cs-CZ"/>
              </w:rPr>
              <w:t>Financované dny celkem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F2CCF50" w14:textId="2C12C168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X dní</w:t>
            </w:r>
          </w:p>
        </w:tc>
        <w:tc>
          <w:tcPr>
            <w:tcW w:w="3543" w:type="dxa"/>
            <w:shd w:val="clear" w:color="auto" w:fill="auto"/>
          </w:tcPr>
          <w:p w14:paraId="4C7A99F1" w14:textId="79791E04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Finanční podpora ze zdroje EU Erasmus+</w:t>
            </w:r>
          </w:p>
        </w:tc>
        <w:tc>
          <w:tcPr>
            <w:tcW w:w="1701" w:type="dxa"/>
            <w:shd w:val="clear" w:color="auto" w:fill="auto"/>
          </w:tcPr>
          <w:p w14:paraId="167086D9" w14:textId="217EC20C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X dní</w:t>
            </w:r>
          </w:p>
        </w:tc>
      </w:tr>
      <w:tr w:rsidR="00A24664" w:rsidRPr="00A24664" w14:paraId="6EB7C6E7" w14:textId="77777777" w:rsidTr="005576BA">
        <w:tc>
          <w:tcPr>
            <w:tcW w:w="2268" w:type="dxa"/>
            <w:vMerge/>
            <w:shd w:val="clear" w:color="auto" w:fill="auto"/>
          </w:tcPr>
          <w:p w14:paraId="31FCE781" w14:textId="0CB8EEEF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9EB905" w14:textId="7FE6CF10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</w:p>
        </w:tc>
        <w:tc>
          <w:tcPr>
            <w:tcW w:w="3543" w:type="dxa"/>
            <w:shd w:val="clear" w:color="auto" w:fill="auto"/>
          </w:tcPr>
          <w:p w14:paraId="5E19FF7B" w14:textId="368167E7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Finanční podpora z jiného zdroje</w:t>
            </w:r>
          </w:p>
        </w:tc>
        <w:tc>
          <w:tcPr>
            <w:tcW w:w="1701" w:type="dxa"/>
            <w:shd w:val="clear" w:color="auto" w:fill="auto"/>
          </w:tcPr>
          <w:p w14:paraId="266AEAA0" w14:textId="2CA65B7C" w:rsidR="00AA391C" w:rsidRPr="00A24664" w:rsidRDefault="00AA391C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X dní</w:t>
            </w:r>
          </w:p>
        </w:tc>
      </w:tr>
      <w:bookmarkEnd w:id="1"/>
      <w:tr w:rsidR="00A24664" w:rsidRPr="00A24664" w14:paraId="4E3F0937" w14:textId="77777777" w:rsidTr="00AA391C">
        <w:tc>
          <w:tcPr>
            <w:tcW w:w="2268" w:type="dxa"/>
            <w:shd w:val="clear" w:color="auto" w:fill="auto"/>
          </w:tcPr>
          <w:p w14:paraId="5410D269" w14:textId="77777777" w:rsidR="00420527" w:rsidRPr="00A24664" w:rsidRDefault="00420527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Nulový grant (</w:t>
            </w:r>
            <w:proofErr w:type="spellStart"/>
            <w:r w:rsidRPr="00A24664">
              <w:rPr>
                <w:color w:val="000000" w:themeColor="text1"/>
                <w:lang w:val="cs-CZ"/>
              </w:rPr>
              <w:t>zero</w:t>
            </w:r>
            <w:proofErr w:type="spellEnd"/>
            <w:r w:rsidRPr="00A24664">
              <w:rPr>
                <w:color w:val="000000" w:themeColor="text1"/>
                <w:lang w:val="cs-CZ"/>
              </w:rPr>
              <w:t>-grant)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464E8AD" w14:textId="77777777" w:rsidR="00420527" w:rsidRPr="00A24664" w:rsidRDefault="00420527" w:rsidP="00420527">
            <w:pPr>
              <w:jc w:val="both"/>
              <w:rPr>
                <w:color w:val="000000" w:themeColor="text1"/>
                <w:lang w:val="cs-CZ"/>
              </w:rPr>
            </w:pPr>
            <w:r w:rsidRPr="00A24664">
              <w:rPr>
                <w:color w:val="000000" w:themeColor="text1"/>
                <w:lang w:val="cs-CZ"/>
              </w:rPr>
              <w:t>X dní</w:t>
            </w:r>
          </w:p>
        </w:tc>
      </w:tr>
    </w:tbl>
    <w:bookmarkEnd w:id="2"/>
    <w:p w14:paraId="7D4B4A9E" w14:textId="026CC42E" w:rsidR="000D148A" w:rsidRDefault="00C82335" w:rsidP="00015E32">
      <w:pPr>
        <w:tabs>
          <w:tab w:val="left" w:pos="993"/>
        </w:tabs>
        <w:ind w:left="567"/>
        <w:jc w:val="both"/>
        <w:rPr>
          <w:lang w:val="cs-CZ"/>
        </w:rPr>
      </w:pPr>
      <w:r w:rsidRPr="00A24664">
        <w:rPr>
          <w:lang w:val="cs-CZ"/>
        </w:rPr>
        <w:t>Počet</w:t>
      </w:r>
      <w:r w:rsidR="00C50607" w:rsidRPr="00A24664">
        <w:rPr>
          <w:lang w:val="cs-CZ"/>
        </w:rPr>
        <w:t xml:space="preserve"> financovaných</w:t>
      </w:r>
      <w:r w:rsidRPr="00A24664">
        <w:rPr>
          <w:lang w:val="cs-CZ"/>
        </w:rPr>
        <w:t xml:space="preserve"> dní </w:t>
      </w:r>
      <w:r w:rsidR="00C50607" w:rsidRPr="00A24664">
        <w:rPr>
          <w:lang w:val="cs-CZ"/>
        </w:rPr>
        <w:t xml:space="preserve">celkem </w:t>
      </w:r>
      <w:r w:rsidRPr="00A24664">
        <w:rPr>
          <w:lang w:val="cs-CZ"/>
        </w:rPr>
        <w:t>se bude rovnat fyzické délce mobility včetně dní na cestu; pokud účastník nedostane finanční podporu po část nebo celé období mobility, bude tento počet dní odpovídajícím způsobem upraven.</w:t>
      </w:r>
    </w:p>
    <w:p w14:paraId="61D10014" w14:textId="77777777" w:rsidR="00A24664" w:rsidRPr="00A24664" w:rsidRDefault="00C66E94" w:rsidP="00A24664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C66E94">
        <w:rPr>
          <w:lang w:val="cs-CZ" w:bidi="cs-CZ"/>
        </w:rPr>
        <w:t>3.3</w:t>
      </w:r>
      <w:r w:rsidRPr="00C66E94">
        <w:rPr>
          <w:lang w:val="cs-CZ" w:bidi="cs-CZ"/>
        </w:rPr>
        <w:tab/>
      </w:r>
      <w:r w:rsidR="00013C7E" w:rsidRPr="00A24664">
        <w:rPr>
          <w:color w:val="000000" w:themeColor="text1"/>
          <w:lang w:val="cs-CZ" w:bidi="cs-CZ"/>
        </w:rPr>
        <w:t>Účastník může podat písemnou žádost na prodloužení délky mobility v rámci časového rozmezí uvedeného v příručce programu Erasmus+</w:t>
      </w:r>
      <w:r w:rsidR="00013C7E" w:rsidRPr="00A24664">
        <w:rPr>
          <w:color w:val="000000" w:themeColor="text1"/>
          <w:lang w:val="cs-CZ"/>
        </w:rPr>
        <w:t>.</w:t>
      </w:r>
    </w:p>
    <w:p w14:paraId="32304E5A" w14:textId="29FCED30" w:rsidR="009E20A5" w:rsidRPr="00A24664" w:rsidRDefault="00A24664" w:rsidP="00A24664">
      <w:pPr>
        <w:tabs>
          <w:tab w:val="left" w:pos="567"/>
        </w:tabs>
        <w:ind w:left="567" w:hanging="567"/>
        <w:jc w:val="both"/>
        <w:rPr>
          <w:color w:val="000000" w:themeColor="text1"/>
          <w:lang w:val="cs-CZ" w:bidi="cs-CZ"/>
        </w:rPr>
      </w:pPr>
      <w:r w:rsidRPr="00A24664">
        <w:rPr>
          <w:color w:val="000000" w:themeColor="text1"/>
          <w:lang w:val="cs-CZ" w:bidi="cs-CZ"/>
        </w:rPr>
        <w:tab/>
      </w:r>
      <w:r w:rsidR="009E20A5" w:rsidRPr="00A24664">
        <w:rPr>
          <w:color w:val="000000" w:themeColor="text1"/>
          <w:lang w:val="cs-CZ" w:bidi="cs-CZ"/>
        </w:rPr>
        <w:t xml:space="preserve">Celková délka trvání fyzické mobility nesmí překročit 60 dní, přičemž minimum na mobilitu jsou 2 po sobě jdoucí dny (resp. 5 po sobě jdoucích dnů v případě mezinárodní mobility do partnerských zemí). </w:t>
      </w:r>
      <w:r w:rsidR="00C66E94" w:rsidRPr="00A24664">
        <w:rPr>
          <w:color w:val="000000" w:themeColor="text1"/>
          <w:lang w:val="cs-CZ" w:bidi="cs-CZ"/>
        </w:rPr>
        <w:t>Pokud organizace souhlasí s prodloužením období mobility, bude smlouva odpovídajícím způsobem doplněna.</w:t>
      </w:r>
    </w:p>
    <w:p w14:paraId="7760A6F7" w14:textId="04FF6E46" w:rsidR="006431EF" w:rsidRPr="008C135A" w:rsidRDefault="00015E32" w:rsidP="00A24664">
      <w:pPr>
        <w:tabs>
          <w:tab w:val="left" w:pos="567"/>
        </w:tabs>
        <w:ind w:left="567" w:hanging="567"/>
        <w:jc w:val="both"/>
        <w:rPr>
          <w:lang w:val="cs-CZ"/>
        </w:rPr>
      </w:pPr>
      <w:r w:rsidRPr="00015E32">
        <w:rPr>
          <w:lang w:val="cs-CZ" w:bidi="cs-CZ"/>
        </w:rPr>
        <w:t>3.</w:t>
      </w:r>
      <w:r w:rsidR="00C66E94">
        <w:rPr>
          <w:lang w:val="cs-CZ" w:bidi="cs-CZ"/>
        </w:rPr>
        <w:t>4</w:t>
      </w:r>
      <w:r w:rsidRPr="00015E32">
        <w:rPr>
          <w:lang w:val="cs-CZ" w:bidi="cs-CZ"/>
        </w:rPr>
        <w:tab/>
      </w:r>
      <w:r w:rsidR="006431EF" w:rsidRPr="008C135A">
        <w:rPr>
          <w:lang w:val="cs-CZ"/>
        </w:rPr>
        <w:t>Organizace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53AA2721" w14:textId="0C073A3B" w:rsidR="00810DE8" w:rsidRPr="00BC3853" w:rsidRDefault="006C6A04" w:rsidP="000233EB">
      <w:pPr>
        <w:tabs>
          <w:tab w:val="left" w:pos="567"/>
        </w:tabs>
        <w:jc w:val="both"/>
        <w:rPr>
          <w:lang w:val="cs-CZ"/>
        </w:rPr>
      </w:pPr>
      <w:r>
        <w:rPr>
          <w:lang w:val="cs-CZ" w:bidi="cs-CZ"/>
        </w:rPr>
        <w:tab/>
      </w:r>
      <w:r w:rsidR="0094305E">
        <w:rPr>
          <w:lang w:val="cs-CZ" w:bidi="cs-CZ"/>
        </w:rPr>
        <w:t>Celková částka</w:t>
      </w:r>
      <w:r w:rsidR="00810DE8" w:rsidRPr="00B27F85">
        <w:rPr>
          <w:lang w:val="cs-CZ" w:bidi="cs-CZ"/>
        </w:rPr>
        <w:t xml:space="preserve"> </w:t>
      </w:r>
      <w:r w:rsidR="00DB6761" w:rsidRPr="00A24664">
        <w:rPr>
          <w:color w:val="000000" w:themeColor="text1"/>
          <w:lang w:val="cs-CZ" w:bidi="cs-CZ"/>
        </w:rPr>
        <w:t xml:space="preserve">finanční podpory </w:t>
      </w:r>
      <w:r w:rsidR="00810DE8" w:rsidRPr="00A24664">
        <w:rPr>
          <w:color w:val="000000" w:themeColor="text1"/>
          <w:lang w:val="cs-CZ"/>
        </w:rPr>
        <w:t>zahrnuje</w:t>
      </w:r>
      <w:r w:rsidR="00810DE8" w:rsidRPr="00BC3853">
        <w:rPr>
          <w:lang w:val="cs-CZ"/>
        </w:rPr>
        <w:t>:</w:t>
      </w:r>
      <w:r w:rsidR="00810DE8">
        <w:rPr>
          <w:lang w:val="cs-CZ"/>
        </w:rPr>
        <w:t xml:space="preserve"> </w:t>
      </w:r>
    </w:p>
    <w:bookmarkStart w:id="3" w:name="_Hlk112679160"/>
    <w:p w14:paraId="41AC1181" w14:textId="46959E55" w:rsidR="00810DE8" w:rsidRPr="00DE6387" w:rsidRDefault="00810DE8" w:rsidP="00810DE8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49643E">
        <w:rPr>
          <w:lang w:val="en-GB"/>
        </w:rPr>
      </w:r>
      <w:r w:rsidR="0049643E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r w:rsidR="004E4F16">
        <w:rPr>
          <w:lang w:val="cs-CZ" w:bidi="cs-CZ"/>
        </w:rPr>
        <w:t xml:space="preserve">Finanční podporu na pobytové náklady pro </w:t>
      </w:r>
      <w:r w:rsidR="004E4F16" w:rsidRPr="000E0D50">
        <w:rPr>
          <w:lang w:val="cs-CZ" w:bidi="cs-CZ"/>
        </w:rPr>
        <w:t>dlouhodob</w:t>
      </w:r>
      <w:r w:rsidR="004E4F16">
        <w:rPr>
          <w:lang w:val="cs-CZ" w:bidi="cs-CZ"/>
        </w:rPr>
        <w:t>ou</w:t>
      </w:r>
      <w:r w:rsidR="004E4F16" w:rsidRPr="000E0D50">
        <w:rPr>
          <w:lang w:val="cs-CZ" w:bidi="cs-CZ"/>
        </w:rPr>
        <w:t xml:space="preserve"> fyzick</w:t>
      </w:r>
      <w:r w:rsidR="004E4F16">
        <w:rPr>
          <w:lang w:val="cs-CZ" w:bidi="cs-CZ"/>
        </w:rPr>
        <w:t>ou</w:t>
      </w:r>
      <w:r w:rsidR="004E4F16" w:rsidRPr="000E0D50">
        <w:rPr>
          <w:lang w:val="cs-CZ" w:bidi="cs-CZ"/>
        </w:rPr>
        <w:t xml:space="preserve"> mobilit</w:t>
      </w:r>
      <w:r w:rsidR="004E4F16">
        <w:rPr>
          <w:lang w:val="cs-CZ" w:bidi="cs-CZ"/>
        </w:rPr>
        <w:t>u</w:t>
      </w:r>
      <w:r w:rsidR="00A24664">
        <w:rPr>
          <w:lang w:val="cs-CZ" w:bidi="cs-CZ"/>
        </w:rPr>
        <w:t xml:space="preserve"> (=15-60 dní)</w:t>
      </w:r>
    </w:p>
    <w:p w14:paraId="012846A7" w14:textId="0C518FBA" w:rsidR="00810DE8" w:rsidRPr="00DE6387" w:rsidRDefault="00810DE8" w:rsidP="00810DE8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49643E">
        <w:rPr>
          <w:lang w:val="en-GB"/>
        </w:rPr>
      </w:r>
      <w:r w:rsidR="0049643E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bookmarkEnd w:id="3"/>
      <w:r w:rsidR="006A437A">
        <w:rPr>
          <w:lang w:val="cs-CZ" w:bidi="cs-CZ"/>
        </w:rPr>
        <w:t>Finanční podporu na pobytové náklady</w:t>
      </w:r>
      <w:r w:rsidR="006A437A" w:rsidRPr="000E0D50">
        <w:rPr>
          <w:lang w:val="cs-CZ" w:bidi="cs-CZ"/>
        </w:rPr>
        <w:t xml:space="preserve"> pro </w:t>
      </w:r>
      <w:r w:rsidR="006A437A">
        <w:rPr>
          <w:lang w:val="cs-CZ" w:bidi="cs-CZ"/>
        </w:rPr>
        <w:t>krátkodobou fyzickou mobilitu</w:t>
      </w:r>
      <w:r w:rsidR="00A24664">
        <w:rPr>
          <w:lang w:val="cs-CZ" w:bidi="cs-CZ"/>
        </w:rPr>
        <w:t xml:space="preserve"> (=2-14 dní)</w:t>
      </w:r>
    </w:p>
    <w:p w14:paraId="40F7A10F" w14:textId="36C7110E" w:rsidR="00810DE8" w:rsidRPr="00A24664" w:rsidRDefault="00810DE8" w:rsidP="00A24664">
      <w:pPr>
        <w:tabs>
          <w:tab w:val="left" w:pos="993"/>
        </w:tabs>
        <w:ind w:left="993" w:hanging="426"/>
        <w:jc w:val="both"/>
        <w:rPr>
          <w:color w:val="000000" w:themeColor="text1"/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49643E">
        <w:rPr>
          <w:lang w:val="en-GB"/>
        </w:rPr>
      </w:r>
      <w:r w:rsidR="0049643E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r w:rsidR="008B306E" w:rsidRPr="00A24664">
        <w:rPr>
          <w:color w:val="000000" w:themeColor="text1"/>
          <w:lang w:val="cs-CZ"/>
        </w:rPr>
        <w:t>Cestovní náklady</w:t>
      </w:r>
      <w:r w:rsidRPr="00A24664">
        <w:rPr>
          <w:color w:val="000000" w:themeColor="text1"/>
          <w:lang w:val="cs-CZ"/>
        </w:rPr>
        <w:t xml:space="preserve"> (standardní cestování</w:t>
      </w:r>
      <w:r w:rsidR="008D1EE9" w:rsidRPr="00A24664">
        <w:rPr>
          <w:color w:val="000000" w:themeColor="text1"/>
          <w:lang w:val="cs-CZ"/>
        </w:rPr>
        <w:t xml:space="preserve"> a standardní částka</w:t>
      </w:r>
      <w:r w:rsidR="009C5EE7" w:rsidRPr="00A24664">
        <w:rPr>
          <w:color w:val="000000" w:themeColor="text1"/>
          <w:lang w:val="cs-CZ"/>
        </w:rPr>
        <w:t>; pro účastníky s nárokem na cestovní náklady)</w:t>
      </w:r>
    </w:p>
    <w:p w14:paraId="7ACF89E8" w14:textId="4DC8B6C6" w:rsidR="00AA22C4" w:rsidRPr="00A24664" w:rsidRDefault="00AA22C4" w:rsidP="00AA22C4">
      <w:pPr>
        <w:tabs>
          <w:tab w:val="left" w:pos="993"/>
        </w:tabs>
        <w:ind w:left="993" w:hanging="426"/>
        <w:jc w:val="both"/>
        <w:rPr>
          <w:color w:val="000000" w:themeColor="text1"/>
          <w:lang w:val="cs-CZ" w:bidi="cs-CZ"/>
        </w:rPr>
      </w:pPr>
      <w:r w:rsidRPr="00A24664">
        <w:rPr>
          <w:color w:val="000000" w:themeColor="text1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24664">
        <w:rPr>
          <w:color w:val="000000" w:themeColor="text1"/>
          <w:lang w:val="cs-CZ"/>
        </w:rPr>
        <w:instrText xml:space="preserve"> FORMCHECKBOX </w:instrText>
      </w:r>
      <w:r w:rsidR="0049643E">
        <w:rPr>
          <w:color w:val="000000" w:themeColor="text1"/>
          <w:lang w:val="en-GB"/>
        </w:rPr>
      </w:r>
      <w:r w:rsidR="0049643E">
        <w:rPr>
          <w:color w:val="000000" w:themeColor="text1"/>
          <w:lang w:val="en-GB"/>
        </w:rPr>
        <w:fldChar w:fldCharType="separate"/>
      </w:r>
      <w:r w:rsidRPr="00A24664">
        <w:rPr>
          <w:color w:val="000000" w:themeColor="text1"/>
          <w:lang w:val="en-GB"/>
        </w:rPr>
        <w:fldChar w:fldCharType="end"/>
      </w:r>
      <w:r w:rsidRPr="00A24664">
        <w:rPr>
          <w:color w:val="000000" w:themeColor="text1"/>
          <w:lang w:val="cs-CZ"/>
        </w:rPr>
        <w:tab/>
      </w:r>
      <w:r w:rsidR="0008093F" w:rsidRPr="00A24664">
        <w:rPr>
          <w:color w:val="000000" w:themeColor="text1"/>
          <w:lang w:val="cs-CZ"/>
        </w:rPr>
        <w:t>Cestovní náklady včetně n</w:t>
      </w:r>
      <w:r w:rsidRPr="00A24664">
        <w:rPr>
          <w:color w:val="000000" w:themeColor="text1"/>
          <w:lang w:val="cs-CZ"/>
        </w:rPr>
        <w:t>avýšení na podporu ekologicky šetrného cestování (</w:t>
      </w:r>
      <w:r w:rsidR="007A59E9" w:rsidRPr="00A24664">
        <w:rPr>
          <w:color w:val="000000" w:themeColor="text1"/>
          <w:lang w:val="cs-CZ"/>
        </w:rPr>
        <w:t xml:space="preserve">ekologicky šetrné cestování a </w:t>
      </w:r>
      <w:r w:rsidR="008D1EE9" w:rsidRPr="00A24664">
        <w:rPr>
          <w:color w:val="000000" w:themeColor="text1"/>
          <w:lang w:val="cs-CZ"/>
        </w:rPr>
        <w:t xml:space="preserve">navýšená částka; </w:t>
      </w:r>
      <w:r w:rsidRPr="00A24664">
        <w:rPr>
          <w:color w:val="000000" w:themeColor="text1"/>
          <w:lang w:val="cs-CZ"/>
        </w:rPr>
        <w:t>pro účastníky s nárokem na cestovní náklady)</w:t>
      </w:r>
    </w:p>
    <w:p w14:paraId="06EA93E7" w14:textId="2818A053" w:rsidR="00AA22C4" w:rsidRPr="00A24664" w:rsidRDefault="00AA22C4" w:rsidP="00AA22C4">
      <w:pPr>
        <w:tabs>
          <w:tab w:val="left" w:pos="993"/>
        </w:tabs>
        <w:ind w:left="993" w:hanging="426"/>
        <w:jc w:val="both"/>
        <w:rPr>
          <w:color w:val="000000" w:themeColor="text1"/>
          <w:lang w:val="cs-CZ"/>
        </w:rPr>
      </w:pPr>
      <w:r w:rsidRPr="00A24664">
        <w:rPr>
          <w:color w:val="000000" w:themeColor="text1"/>
          <w:lang w:val="cs-CZ"/>
        </w:rPr>
        <w:tab/>
        <w:t xml:space="preserve">Zaškrtnutím této možnosti účastník čestně prohlašuje, že využije ekologicky šetrný způsob dopravy: tj. kolo, vlak, autobus či sdílený automobil do/z místa přijímající zahraniční instituce (první cesta na mobilitu a poslední cesta zpět do ČR) a že uchová všechny doklady (jízdenky) o uskutečnění cesty do/z místa přijímající zahraniční instituce. </w:t>
      </w:r>
    </w:p>
    <w:p w14:paraId="1F2756FB" w14:textId="138285AA" w:rsidR="00810DE8" w:rsidRPr="00DE6387" w:rsidRDefault="00810DE8" w:rsidP="00810DE8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49643E">
        <w:rPr>
          <w:lang w:val="en-GB"/>
        </w:rPr>
      </w:r>
      <w:r w:rsidR="0049643E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Další dny na cestu (další dny</w:t>
      </w:r>
      <w:r w:rsidR="00CB4354" w:rsidRPr="00DE6387">
        <w:rPr>
          <w:lang w:val="cs-CZ"/>
        </w:rPr>
        <w:t xml:space="preserve"> na </w:t>
      </w:r>
      <w:r w:rsidR="005D06CF" w:rsidRPr="00DE6387">
        <w:rPr>
          <w:lang w:val="cs-CZ"/>
        </w:rPr>
        <w:t>pobytové náklady)</w:t>
      </w:r>
    </w:p>
    <w:p w14:paraId="296DFC8D" w14:textId="53CB5430" w:rsidR="00C62F5C" w:rsidRPr="006721F0" w:rsidRDefault="00810DE8" w:rsidP="00C62F5C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49643E">
        <w:rPr>
          <w:lang w:val="en-GB"/>
        </w:rPr>
      </w:r>
      <w:r w:rsidR="0049643E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Podporu na mimořádně vysoké cestovní náklady (na základě skutečných nákladů)</w:t>
      </w:r>
      <w:r w:rsidR="00C62F5C">
        <w:rPr>
          <w:lang w:val="cs-CZ"/>
        </w:rPr>
        <w:t xml:space="preserve"> </w:t>
      </w:r>
    </w:p>
    <w:p w14:paraId="2251112B" w14:textId="369DC2A7" w:rsidR="00810DE8" w:rsidRPr="00DE6387" w:rsidRDefault="00810DE8" w:rsidP="00810DE8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49643E">
        <w:rPr>
          <w:lang w:val="en-GB"/>
        </w:rPr>
      </w:r>
      <w:r w:rsidR="0049643E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Podporu na inkluzi (na základě skutečných nákladů)</w:t>
      </w:r>
    </w:p>
    <w:p w14:paraId="2118BDD2" w14:textId="4BBCF415" w:rsidR="007F1FAC" w:rsidRPr="007E12CB" w:rsidRDefault="007740C9" w:rsidP="007F1FAC">
      <w:pPr>
        <w:ind w:left="567" w:hanging="567"/>
        <w:jc w:val="both"/>
        <w:rPr>
          <w:color w:val="000000" w:themeColor="text1"/>
          <w:lang w:val="cs-CZ" w:bidi="cs-CZ"/>
        </w:rPr>
      </w:pPr>
      <w:r w:rsidRPr="000E0D50">
        <w:rPr>
          <w:lang w:val="cs-CZ" w:bidi="cs-CZ"/>
        </w:rPr>
        <w:t>3.</w:t>
      </w:r>
      <w:r w:rsidR="00015E32">
        <w:rPr>
          <w:lang w:val="cs-CZ" w:bidi="cs-CZ"/>
        </w:rPr>
        <w:t>5</w:t>
      </w:r>
      <w:r w:rsidRPr="000E0D50">
        <w:rPr>
          <w:lang w:val="cs-CZ" w:bidi="cs-CZ"/>
        </w:rPr>
        <w:tab/>
      </w:r>
      <w:r w:rsidR="007F1FAC" w:rsidRPr="007E69FA">
        <w:rPr>
          <w:lang w:val="cs-CZ" w:bidi="cs-CZ"/>
        </w:rPr>
        <w:t>Příspěvek na vzniklé náklady na cestu</w:t>
      </w:r>
      <w:r w:rsidR="007F1FAC" w:rsidRPr="007E69FA">
        <w:t xml:space="preserve"> nebo na podporu potřeb inkluze</w:t>
      </w:r>
      <w:r w:rsidR="007F1FAC" w:rsidRPr="007E69FA" w:rsidDel="00357B7E">
        <w:rPr>
          <w:lang w:val="cs-CZ" w:bidi="cs-CZ"/>
        </w:rPr>
        <w:t xml:space="preserve"> </w:t>
      </w:r>
      <w:r w:rsidR="007F1FAC" w:rsidRPr="007E69FA">
        <w:rPr>
          <w:lang w:val="cs-CZ" w:bidi="cs-CZ"/>
        </w:rPr>
        <w:t>(podpora inkluze, mimořádně vysoké cestovní náklady,</w:t>
      </w:r>
      <w:r w:rsidR="007F1FAC" w:rsidRPr="007E69FA" w:rsidDel="00357B7E">
        <w:rPr>
          <w:lang w:val="cs-CZ" w:bidi="cs-CZ"/>
        </w:rPr>
        <w:t xml:space="preserve"> </w:t>
      </w:r>
      <w:r w:rsidR="007F1FAC" w:rsidRPr="007E69FA">
        <w:rPr>
          <w:lang w:val="cs-CZ" w:bidi="cs-CZ"/>
        </w:rPr>
        <w:t>cestovní náklady, příspěvek na ekologicky šetrné cestování, navýšení pro účastníky s omezenými příležitostmi</w:t>
      </w:r>
      <w:r w:rsidR="007F1FAC" w:rsidRPr="00DE6387">
        <w:rPr>
          <w:lang w:val="cs-CZ"/>
        </w:rPr>
        <w:t>),</w:t>
      </w:r>
      <w:r w:rsidR="007F1FAC" w:rsidRPr="007E69FA">
        <w:rPr>
          <w:lang w:val="cs-CZ" w:bidi="cs-CZ"/>
        </w:rPr>
        <w:t xml:space="preserve"> </w:t>
      </w:r>
      <w:r w:rsidR="007F1FAC" w:rsidRPr="007E12CB">
        <w:rPr>
          <w:color w:val="000000" w:themeColor="text1"/>
          <w:lang w:val="cs-CZ"/>
        </w:rPr>
        <w:t>je-li to relevantní (viz článek 3.</w:t>
      </w:r>
      <w:r w:rsidR="00015E32" w:rsidRPr="007E12CB">
        <w:rPr>
          <w:color w:val="000000" w:themeColor="text1"/>
          <w:lang w:val="cs-CZ"/>
        </w:rPr>
        <w:t>4</w:t>
      </w:r>
      <w:r w:rsidR="007F1FAC" w:rsidRPr="007E12CB">
        <w:rPr>
          <w:color w:val="000000" w:themeColor="text1"/>
          <w:lang w:val="cs-CZ"/>
        </w:rPr>
        <w:t xml:space="preserve">), </w:t>
      </w:r>
      <w:r w:rsidR="007F1FAC" w:rsidRPr="007E12CB">
        <w:rPr>
          <w:color w:val="000000" w:themeColor="text1"/>
          <w:lang w:val="cs-CZ" w:bidi="cs-CZ"/>
        </w:rPr>
        <w:t>se stanoví na základě podkladů předložených účastníkem.</w:t>
      </w:r>
    </w:p>
    <w:p w14:paraId="0B8B157A" w14:textId="464DA7F5" w:rsidR="00412CD1" w:rsidRPr="000E0D50" w:rsidRDefault="00F653E1" w:rsidP="2156E4C0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3.</w:t>
      </w:r>
      <w:r w:rsidR="00015E32">
        <w:rPr>
          <w:lang w:val="cs-CZ" w:bidi="cs-CZ"/>
        </w:rPr>
        <w:t>6</w:t>
      </w:r>
      <w:r w:rsidRPr="000E0D50">
        <w:rPr>
          <w:lang w:val="cs-CZ" w:bidi="cs-CZ"/>
        </w:rPr>
        <w:tab/>
      </w:r>
      <w:r w:rsidR="00942ECB">
        <w:rPr>
          <w:lang w:val="cs-CZ"/>
        </w:rPr>
        <w:t>Finanční příspěvek nesmí být použit na krytí obdobných nákladů, které jsou již financovány ze zdrojů EU.</w:t>
      </w:r>
    </w:p>
    <w:p w14:paraId="71C38DCF" w14:textId="24260D0D" w:rsidR="00E92E00" w:rsidRDefault="00F653E1" w:rsidP="2156E4C0">
      <w:pPr>
        <w:ind w:left="567" w:hanging="567"/>
        <w:jc w:val="both"/>
        <w:rPr>
          <w:lang w:val="cs-CZ" w:bidi="cs-CZ"/>
        </w:rPr>
      </w:pPr>
      <w:r w:rsidRPr="000E0D50">
        <w:rPr>
          <w:lang w:val="cs-CZ" w:bidi="cs-CZ"/>
        </w:rPr>
        <w:lastRenderedPageBreak/>
        <w:t>3</w:t>
      </w:r>
      <w:r w:rsidR="00015E32">
        <w:rPr>
          <w:lang w:val="cs-CZ" w:bidi="cs-CZ"/>
        </w:rPr>
        <w:t>.7</w:t>
      </w:r>
      <w:r w:rsidRPr="000E0D50">
        <w:rPr>
          <w:lang w:val="cs-CZ" w:bidi="cs-CZ"/>
        </w:rPr>
        <w:tab/>
        <w:t xml:space="preserve">Bez ohledu na ustanovení </w:t>
      </w:r>
      <w:r w:rsidRPr="00380238">
        <w:rPr>
          <w:lang w:val="cs-CZ" w:bidi="cs-CZ"/>
        </w:rPr>
        <w:t>článku 3.</w:t>
      </w:r>
      <w:r w:rsidR="00015E32" w:rsidRPr="00380238">
        <w:rPr>
          <w:lang w:val="cs-CZ" w:bidi="cs-CZ"/>
        </w:rPr>
        <w:t>6</w:t>
      </w:r>
      <w:r w:rsidRPr="00380238">
        <w:rPr>
          <w:lang w:val="cs-CZ" w:bidi="cs-CZ"/>
        </w:rPr>
        <w:t xml:space="preserve"> je grant</w:t>
      </w:r>
      <w:r w:rsidRPr="000E0D50">
        <w:rPr>
          <w:lang w:val="cs-CZ" w:bidi="cs-CZ"/>
        </w:rPr>
        <w:t xml:space="preserve"> slučitelný s jakýmkoli jiným zdrojem financování</w:t>
      </w:r>
      <w:r w:rsidR="00942ECB">
        <w:rPr>
          <w:lang w:val="cs-CZ" w:bidi="cs-CZ"/>
        </w:rPr>
        <w:t xml:space="preserve">, včetně </w:t>
      </w:r>
      <w:r w:rsidR="0067242B">
        <w:rPr>
          <w:lang w:val="cs-CZ" w:bidi="cs-CZ"/>
        </w:rPr>
        <w:t>finančního ohodnocení</w:t>
      </w:r>
      <w:r w:rsidRPr="000E0D50">
        <w:rPr>
          <w:lang w:val="cs-CZ" w:bidi="cs-CZ"/>
        </w:rPr>
        <w:t>, kter</w:t>
      </w:r>
      <w:r w:rsidR="0067242B">
        <w:rPr>
          <w:lang w:val="cs-CZ" w:bidi="cs-CZ"/>
        </w:rPr>
        <w:t>é</w:t>
      </w:r>
      <w:r w:rsidRPr="000E0D50">
        <w:rPr>
          <w:lang w:val="cs-CZ" w:bidi="cs-CZ"/>
        </w:rPr>
        <w:t xml:space="preserve"> by účastník mohl pobírat za svoji stáž nebo </w:t>
      </w:r>
      <w:r w:rsidRPr="007E69FA">
        <w:rPr>
          <w:lang w:val="cs-CZ" w:bidi="cs-CZ"/>
        </w:rPr>
        <w:t>v</w:t>
      </w:r>
      <w:r w:rsidR="00597E77" w:rsidRPr="007E69FA">
        <w:rPr>
          <w:lang w:val="cs-CZ" w:bidi="cs-CZ"/>
        </w:rPr>
        <w:t>ýukové</w:t>
      </w:r>
      <w:r w:rsidR="00C22D66" w:rsidRPr="007E69FA">
        <w:rPr>
          <w:lang w:val="cs-CZ" w:bidi="cs-CZ"/>
        </w:rPr>
        <w:t xml:space="preserve"> aktivity</w:t>
      </w:r>
      <w:r w:rsidR="00942ECB" w:rsidRPr="007E69FA">
        <w:rPr>
          <w:lang w:val="cs-CZ" w:bidi="cs-CZ"/>
        </w:rPr>
        <w:t xml:space="preserve"> </w:t>
      </w:r>
      <w:r w:rsidRPr="007E69FA">
        <w:rPr>
          <w:lang w:val="cs-CZ" w:bidi="cs-CZ"/>
        </w:rPr>
        <w:t>nebo za jakoukoli práci mimo aktivity mobility, pokud vykonává činnosti uvedené v příloze I.</w:t>
      </w:r>
    </w:p>
    <w:p w14:paraId="098B0BE2" w14:textId="77777777" w:rsidR="00B75D96" w:rsidRPr="000E0D50" w:rsidRDefault="00B75D96" w:rsidP="00B75D96">
      <w:pPr>
        <w:jc w:val="both"/>
        <w:rPr>
          <w:lang w:val="cs-CZ"/>
        </w:rPr>
      </w:pPr>
    </w:p>
    <w:p w14:paraId="1A09C2DA" w14:textId="5781FE2F" w:rsidR="00F96310" w:rsidRPr="000E0D50" w:rsidRDefault="2156E4C0" w:rsidP="2156E4C0">
      <w:pPr>
        <w:pBdr>
          <w:bottom w:val="single" w:sz="6" w:space="1" w:color="auto"/>
        </w:pBdr>
        <w:ind w:left="567" w:hanging="567"/>
        <w:rPr>
          <w:lang w:val="cs-CZ"/>
        </w:rPr>
      </w:pPr>
      <w:r w:rsidRPr="000E0D50">
        <w:rPr>
          <w:lang w:val="cs-CZ" w:bidi="cs-CZ"/>
        </w:rPr>
        <w:t xml:space="preserve">ČLÁNEK 4 – </w:t>
      </w:r>
      <w:r w:rsidR="00942ECB">
        <w:rPr>
          <w:lang w:val="cs-CZ" w:bidi="cs-CZ"/>
        </w:rPr>
        <w:t>PLATEBNÍ UJEDNÁNÍ</w:t>
      </w:r>
    </w:p>
    <w:p w14:paraId="3F217989" w14:textId="7CF82051" w:rsidR="008066F2" w:rsidRPr="00EC3B78" w:rsidRDefault="00F653E1" w:rsidP="00CB3683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4.1</w:t>
      </w:r>
      <w:r w:rsidRPr="000E0D50">
        <w:rPr>
          <w:lang w:val="cs-CZ" w:bidi="cs-CZ"/>
        </w:rPr>
        <w:tab/>
      </w:r>
      <w:r w:rsidR="00F06DA7" w:rsidRPr="00EC3B78">
        <w:rPr>
          <w:lang w:val="cs-CZ" w:bidi="cs-CZ"/>
        </w:rPr>
        <w:t>Účastníkovi bude poukázána platba nejpozději</w:t>
      </w:r>
      <w:r w:rsidR="009B0227" w:rsidRPr="00EC3B78">
        <w:rPr>
          <w:lang w:val="cs-CZ" w:bidi="cs-CZ"/>
        </w:rPr>
        <w:t xml:space="preserve"> </w:t>
      </w:r>
      <w:r w:rsidR="00F06DA7" w:rsidRPr="00EC3B78">
        <w:rPr>
          <w:lang w:val="cs-CZ" w:bidi="cs-CZ"/>
        </w:rPr>
        <w:t>(podle toho, co nastane dříve):</w:t>
      </w:r>
    </w:p>
    <w:p w14:paraId="188DD1BD" w14:textId="0A6C0744" w:rsidR="008066F2" w:rsidRPr="000E0D50" w:rsidRDefault="008066F2" w:rsidP="008066F2">
      <w:pPr>
        <w:ind w:left="567"/>
        <w:jc w:val="both"/>
        <w:rPr>
          <w:lang w:val="cs-CZ"/>
        </w:rPr>
      </w:pPr>
      <w:r w:rsidRPr="00EC3B78">
        <w:rPr>
          <w:lang w:val="cs-CZ" w:bidi="cs-CZ"/>
        </w:rPr>
        <w:t xml:space="preserve">- </w:t>
      </w:r>
      <w:r w:rsidR="009B0227" w:rsidRPr="00EC3B78">
        <w:rPr>
          <w:lang w:val="cs-CZ" w:bidi="cs-CZ"/>
        </w:rPr>
        <w:t xml:space="preserve">Do </w:t>
      </w:r>
      <w:r w:rsidRPr="00EC3B78">
        <w:rPr>
          <w:lang w:val="cs-CZ" w:bidi="cs-CZ"/>
        </w:rPr>
        <w:t>30 kalendářních dnů po podpisu smlouvy oběma stranami.</w:t>
      </w:r>
    </w:p>
    <w:p w14:paraId="60747DAF" w14:textId="44BF455B" w:rsidR="00F06DA7" w:rsidRPr="000E0D50" w:rsidRDefault="008066F2" w:rsidP="008066F2">
      <w:pPr>
        <w:ind w:left="567"/>
        <w:jc w:val="both"/>
        <w:rPr>
          <w:lang w:val="cs-CZ"/>
        </w:rPr>
      </w:pPr>
      <w:r w:rsidRPr="007E12CB">
        <w:rPr>
          <w:lang w:val="cs-CZ" w:bidi="cs-CZ"/>
        </w:rPr>
        <w:t xml:space="preserve">- </w:t>
      </w:r>
      <w:r w:rsidR="009B0227" w:rsidRPr="007E12CB">
        <w:rPr>
          <w:lang w:val="cs-CZ" w:bidi="cs-CZ"/>
        </w:rPr>
        <w:t>D</w:t>
      </w:r>
      <w:r w:rsidR="009B0227" w:rsidRPr="00A7079A">
        <w:rPr>
          <w:lang w:val="cs-CZ" w:bidi="cs-CZ"/>
        </w:rPr>
        <w:t xml:space="preserve">o </w:t>
      </w:r>
      <w:r w:rsidRPr="00A7079A">
        <w:rPr>
          <w:lang w:val="cs-CZ" w:bidi="cs-CZ"/>
        </w:rPr>
        <w:t>dat</w:t>
      </w:r>
      <w:r w:rsidR="009B0227" w:rsidRPr="00A7079A">
        <w:rPr>
          <w:lang w:val="cs-CZ" w:bidi="cs-CZ"/>
        </w:rPr>
        <w:t>a</w:t>
      </w:r>
      <w:r w:rsidRPr="00A7079A">
        <w:rPr>
          <w:lang w:val="cs-CZ" w:bidi="cs-CZ"/>
        </w:rPr>
        <w:t xml:space="preserve"> zahájení období mobility.</w:t>
      </w:r>
    </w:p>
    <w:p w14:paraId="133CDD24" w14:textId="2DFCCD11" w:rsidR="00073B41" w:rsidRDefault="00306EAD" w:rsidP="0047743F">
      <w:pPr>
        <w:ind w:left="567"/>
        <w:jc w:val="both"/>
        <w:rPr>
          <w:lang w:val="cs-CZ"/>
        </w:rPr>
      </w:pPr>
      <w:r>
        <w:rPr>
          <w:lang w:val="cs-CZ" w:bidi="cs-CZ"/>
        </w:rPr>
        <w:t>Účastník obdrží zálohu ve výši</w:t>
      </w:r>
      <w:r w:rsidR="008066F2" w:rsidRPr="000E0D50">
        <w:rPr>
          <w:lang w:val="cs-CZ" w:bidi="cs-CZ"/>
        </w:rPr>
        <w:t xml:space="preserve"> </w:t>
      </w:r>
      <w:r w:rsidR="007F1FAC">
        <w:rPr>
          <w:lang w:val="cs-CZ" w:bidi="cs-CZ"/>
        </w:rPr>
        <w:t xml:space="preserve">v </w:t>
      </w:r>
      <w:r w:rsidR="007F1FAC" w:rsidRPr="007F1FAC">
        <w:rPr>
          <w:lang w:val="cs-CZ" w:bidi="cs-CZ"/>
        </w:rPr>
        <w:t>rozmezí</w:t>
      </w:r>
      <w:r w:rsidR="00322E1A" w:rsidRPr="007F1FAC">
        <w:rPr>
          <w:lang w:val="cs-CZ" w:bidi="cs-CZ"/>
        </w:rPr>
        <w:t xml:space="preserve"> 70 % a</w:t>
      </w:r>
      <w:r w:rsidR="007F1FAC">
        <w:rPr>
          <w:lang w:val="cs-CZ" w:bidi="cs-CZ"/>
        </w:rPr>
        <w:t>ž</w:t>
      </w:r>
      <w:r w:rsidR="00322E1A" w:rsidRPr="007F1FAC">
        <w:rPr>
          <w:lang w:val="cs-CZ" w:bidi="cs-CZ"/>
        </w:rPr>
        <w:t xml:space="preserve"> 100 %</w:t>
      </w:r>
      <w:r w:rsidR="008066F2" w:rsidRPr="007F1FAC">
        <w:rPr>
          <w:lang w:val="cs-CZ" w:bidi="cs-CZ"/>
        </w:rPr>
        <w:t xml:space="preserve"> </w:t>
      </w:r>
      <w:r w:rsidRPr="007F1FAC">
        <w:rPr>
          <w:lang w:val="cs-CZ" w:bidi="cs-CZ"/>
        </w:rPr>
        <w:t xml:space="preserve">z </w:t>
      </w:r>
      <w:r w:rsidR="008066F2" w:rsidRPr="007F1FAC">
        <w:rPr>
          <w:lang w:val="cs-CZ" w:bidi="cs-CZ"/>
        </w:rPr>
        <w:t>částky</w:t>
      </w:r>
      <w:r w:rsidR="008066F2" w:rsidRPr="000E0D50">
        <w:rPr>
          <w:lang w:val="cs-CZ" w:bidi="cs-CZ"/>
        </w:rPr>
        <w:t xml:space="preserve"> uvedené v </w:t>
      </w:r>
      <w:r w:rsidR="008066F2" w:rsidRPr="00380238">
        <w:rPr>
          <w:lang w:val="cs-CZ" w:bidi="cs-CZ"/>
        </w:rPr>
        <w:t>článku 3. V</w:t>
      </w:r>
      <w:r w:rsidR="008066F2" w:rsidRPr="000E0D50">
        <w:rPr>
          <w:lang w:val="cs-CZ" w:bidi="cs-CZ"/>
        </w:rPr>
        <w:t xml:space="preserve"> případě, že účastník </w:t>
      </w:r>
      <w:r w:rsidR="00073B41">
        <w:rPr>
          <w:lang w:val="cs-CZ" w:bidi="cs-CZ"/>
        </w:rPr>
        <w:t>neposkytne požadované podklady</w:t>
      </w:r>
      <w:r w:rsidR="008066F2" w:rsidRPr="000E0D50">
        <w:rPr>
          <w:lang w:val="cs-CZ" w:bidi="cs-CZ"/>
        </w:rPr>
        <w:t xml:space="preserve"> včas</w:t>
      </w:r>
      <w:r w:rsidR="00073B41">
        <w:rPr>
          <w:lang w:val="cs-CZ" w:bidi="cs-CZ"/>
        </w:rPr>
        <w:t xml:space="preserve"> (dle</w:t>
      </w:r>
      <w:r w:rsidR="008066F2" w:rsidRPr="000E0D50">
        <w:rPr>
          <w:lang w:val="cs-CZ" w:bidi="cs-CZ"/>
        </w:rPr>
        <w:t xml:space="preserve"> </w:t>
      </w:r>
      <w:r w:rsidR="00073B41">
        <w:rPr>
          <w:lang w:val="cs-CZ" w:bidi="cs-CZ"/>
        </w:rPr>
        <w:t xml:space="preserve">harmonogramu </w:t>
      </w:r>
      <w:r w:rsidR="008066F2" w:rsidRPr="000E0D50">
        <w:rPr>
          <w:lang w:val="cs-CZ" w:bidi="cs-CZ"/>
        </w:rPr>
        <w:t>financující organizace</w:t>
      </w:r>
      <w:r w:rsidR="00073B41">
        <w:rPr>
          <w:lang w:val="cs-CZ" w:bidi="cs-CZ"/>
        </w:rPr>
        <w:t>)</w:t>
      </w:r>
      <w:r w:rsidR="008066F2" w:rsidRPr="000E0D50">
        <w:rPr>
          <w:lang w:val="cs-CZ" w:bidi="cs-CZ"/>
        </w:rPr>
        <w:t xml:space="preserve"> </w:t>
      </w:r>
      <w:r w:rsidR="00073B41">
        <w:rPr>
          <w:lang w:val="cs-CZ"/>
        </w:rPr>
        <w:t>může být na základě oprávněných důvodů výjimečně schválena pozdější platba zálohy.</w:t>
      </w:r>
    </w:p>
    <w:p w14:paraId="1A00FBE2" w14:textId="0640BE8B" w:rsidR="00073B41" w:rsidRDefault="00F653E1" w:rsidP="00073B41">
      <w:pPr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>4.2</w:t>
      </w:r>
      <w:r w:rsidRPr="000E0D50">
        <w:rPr>
          <w:lang w:val="cs-CZ" w:bidi="cs-CZ"/>
        </w:rPr>
        <w:tab/>
      </w:r>
      <w:r w:rsidR="00073B41">
        <w:rPr>
          <w:lang w:val="cs-CZ"/>
        </w:rPr>
        <w:t xml:space="preserve">Je-li platba v rámci článku 4.1 nižší než 100 % finanční podpory, podání závěrečné zprávy účastníka (EU </w:t>
      </w:r>
      <w:proofErr w:type="spellStart"/>
      <w:r w:rsidR="00073B41">
        <w:rPr>
          <w:lang w:val="cs-CZ"/>
        </w:rPr>
        <w:t>Survey</w:t>
      </w:r>
      <w:proofErr w:type="spellEnd"/>
      <w:r w:rsidR="00073B41">
        <w:rPr>
          <w:lang w:val="cs-CZ"/>
        </w:rPr>
        <w:t xml:space="preserve">) se bude považovat za žádost účastníka o doplatek. Organizace </w:t>
      </w:r>
      <w:r w:rsidR="00073B41" w:rsidRPr="004B69B8">
        <w:rPr>
          <w:lang w:val="cs-CZ"/>
        </w:rPr>
        <w:t>má</w:t>
      </w:r>
      <w:r w:rsidR="00073B41" w:rsidRPr="004B69B8">
        <w:rPr>
          <w:lang w:val="cs-CZ" w:bidi="cs-CZ"/>
        </w:rPr>
        <w:t xml:space="preserve">: 45 </w:t>
      </w:r>
      <w:r w:rsidR="00073B41" w:rsidRPr="000E0D50">
        <w:rPr>
          <w:lang w:val="cs-CZ" w:bidi="cs-CZ"/>
        </w:rPr>
        <w:t xml:space="preserve">kalendářních dnů </w:t>
      </w:r>
      <w:r w:rsidR="00073B41">
        <w:rPr>
          <w:lang w:val="cs-CZ"/>
        </w:rPr>
        <w:t>na provedení platby doplatku nebo vystavení příkazu k vratce.</w:t>
      </w:r>
    </w:p>
    <w:p w14:paraId="1BFA08E9" w14:textId="77777777" w:rsidR="00081295" w:rsidRDefault="00081295" w:rsidP="00A26E88">
      <w:pPr>
        <w:pBdr>
          <w:bottom w:val="single" w:sz="6" w:space="1" w:color="auto"/>
        </w:pBdr>
        <w:jc w:val="both"/>
        <w:rPr>
          <w:lang w:val="cs-CZ" w:bidi="cs-CZ"/>
        </w:rPr>
      </w:pPr>
    </w:p>
    <w:p w14:paraId="20F9EC8F" w14:textId="4B959242" w:rsidR="00A26E88" w:rsidRPr="00ED29F0" w:rsidRDefault="00A26E88" w:rsidP="00A26E88">
      <w:pPr>
        <w:pBdr>
          <w:bottom w:val="single" w:sz="6" w:space="1" w:color="auto"/>
        </w:pBdr>
        <w:jc w:val="both"/>
        <w:rPr>
          <w:lang w:val="cs-CZ"/>
        </w:rPr>
      </w:pPr>
      <w:r w:rsidRPr="000E0D50">
        <w:rPr>
          <w:lang w:val="cs-CZ" w:bidi="cs-CZ"/>
        </w:rPr>
        <w:t xml:space="preserve">ČLÁNEK 5 – </w:t>
      </w:r>
      <w:r w:rsidRPr="00ED29F0">
        <w:rPr>
          <w:lang w:val="cs-CZ" w:bidi="cs-CZ"/>
        </w:rPr>
        <w:t>NÁHRADA</w:t>
      </w:r>
    </w:p>
    <w:p w14:paraId="2EFB5F35" w14:textId="1E83A953" w:rsidR="00C64F27" w:rsidRDefault="00A26E88" w:rsidP="00A26E88">
      <w:pPr>
        <w:ind w:left="567" w:hanging="567"/>
        <w:jc w:val="both"/>
        <w:rPr>
          <w:lang w:val="cs-CZ"/>
        </w:rPr>
      </w:pPr>
      <w:r w:rsidRPr="00ED29F0">
        <w:rPr>
          <w:lang w:val="cs-CZ"/>
        </w:rPr>
        <w:t>5.1</w:t>
      </w:r>
      <w:r w:rsidRPr="00ED29F0">
        <w:rPr>
          <w:lang w:val="cs-CZ"/>
        </w:rPr>
        <w:tab/>
        <w:t>Finanční podporu</w:t>
      </w:r>
      <w:r w:rsidRPr="00A26E88">
        <w:rPr>
          <w:lang w:val="cs-CZ"/>
        </w:rPr>
        <w:t xml:space="preserve"> nebo její část bude vysílající organizace vymáhat, pokud účastník nedodrží podmínky smlouvy. Pokud účastník vypoví smlouvu před jejím ukončením, je povinen vrátit již vyplacenou částku grantu, pokud se s vysílající organizací nedohodne jinak. Druhá možnost musí být vysílající organizací nahlášena národní agentuře a ta ji musí schválit.</w:t>
      </w:r>
    </w:p>
    <w:p w14:paraId="060A0BCE" w14:textId="2C63BF07" w:rsidR="00A26E88" w:rsidRPr="000E0D50" w:rsidRDefault="00A26E88" w:rsidP="007E12CB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7C802DDF" w14:textId="0586CF06" w:rsidR="003415BB" w:rsidRPr="000E0D50" w:rsidRDefault="2156E4C0" w:rsidP="2156E4C0">
      <w:pPr>
        <w:pBdr>
          <w:bottom w:val="single" w:sz="6" w:space="1" w:color="auto"/>
        </w:pBdr>
        <w:jc w:val="both"/>
        <w:rPr>
          <w:lang w:val="cs-CZ"/>
        </w:rPr>
      </w:pPr>
      <w:r w:rsidRPr="000E0D50">
        <w:rPr>
          <w:lang w:val="cs-CZ" w:bidi="cs-CZ"/>
        </w:rPr>
        <w:t xml:space="preserve">ČLÁNEK </w:t>
      </w:r>
      <w:r w:rsidR="00BA405A">
        <w:rPr>
          <w:lang w:val="cs-CZ" w:bidi="cs-CZ"/>
        </w:rPr>
        <w:t>6</w:t>
      </w:r>
      <w:r w:rsidRPr="000E0D50">
        <w:rPr>
          <w:lang w:val="cs-CZ" w:bidi="cs-CZ"/>
        </w:rPr>
        <w:t xml:space="preserve"> – POJIŠTĚNÍ</w:t>
      </w:r>
    </w:p>
    <w:p w14:paraId="5884A80E" w14:textId="7A9534D4" w:rsidR="00686D1D" w:rsidRPr="007E12CB" w:rsidRDefault="009E71FC" w:rsidP="00686D1D">
      <w:pPr>
        <w:ind w:left="567" w:hanging="567"/>
        <w:jc w:val="both"/>
        <w:rPr>
          <w:lang w:val="cs-CZ"/>
        </w:rPr>
      </w:pPr>
      <w:r>
        <w:rPr>
          <w:lang w:val="cs-CZ" w:bidi="cs-CZ"/>
        </w:rPr>
        <w:t>6</w:t>
      </w:r>
      <w:r w:rsidR="00686D1D" w:rsidRPr="000E0D50">
        <w:rPr>
          <w:lang w:val="cs-CZ" w:bidi="cs-CZ"/>
        </w:rPr>
        <w:t>.1</w:t>
      </w:r>
      <w:r w:rsidR="00686D1D" w:rsidRPr="000E0D50">
        <w:rPr>
          <w:lang w:val="cs-CZ" w:bidi="cs-CZ"/>
        </w:rPr>
        <w:tab/>
      </w:r>
      <w:r w:rsidR="00686D1D" w:rsidRPr="007E12CB">
        <w:rPr>
          <w:lang w:val="cs-CZ" w:bidi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</w:t>
      </w:r>
      <w:r w:rsidR="007E12CB" w:rsidRPr="007E12CB">
        <w:rPr>
          <w:lang w:val="cs-CZ" w:bidi="cs-CZ"/>
        </w:rPr>
        <w:t>.</w:t>
      </w:r>
    </w:p>
    <w:p w14:paraId="1AC80B28" w14:textId="25DEFF81" w:rsidR="00686D1D" w:rsidRPr="007E12CB" w:rsidRDefault="00BA405A" w:rsidP="00081B25">
      <w:pPr>
        <w:ind w:left="567" w:hanging="567"/>
        <w:jc w:val="both"/>
        <w:rPr>
          <w:lang w:val="cs-CZ"/>
        </w:rPr>
      </w:pPr>
      <w:r w:rsidRPr="007E12CB">
        <w:rPr>
          <w:lang w:val="cs-CZ" w:bidi="cs-CZ"/>
        </w:rPr>
        <w:t>6</w:t>
      </w:r>
      <w:r w:rsidR="00686D1D" w:rsidRPr="007E12CB">
        <w:rPr>
          <w:lang w:val="cs-CZ" w:bidi="cs-CZ"/>
        </w:rPr>
        <w:t>.2</w:t>
      </w:r>
      <w:r w:rsidR="00686D1D" w:rsidRPr="007E12CB">
        <w:rPr>
          <w:lang w:val="cs-CZ" w:bidi="cs-CZ"/>
        </w:rPr>
        <w:tab/>
        <w:t>Pojistné krytí zahrnuje minimálně zdravotní pojištění</w:t>
      </w:r>
      <w:r w:rsidR="001B4D1C" w:rsidRPr="007E12CB">
        <w:rPr>
          <w:lang w:val="cs-CZ" w:bidi="cs-CZ"/>
        </w:rPr>
        <w:t>,</w:t>
      </w:r>
      <w:r w:rsidR="00A81FEC" w:rsidRPr="007E12CB">
        <w:rPr>
          <w:lang w:val="cs-CZ" w:bidi="cs-CZ"/>
        </w:rPr>
        <w:t xml:space="preserve"> pojištění odpovědnosti a úrazové pojištění</w:t>
      </w:r>
      <w:r w:rsidR="00686D1D" w:rsidRPr="007E12CB">
        <w:rPr>
          <w:lang w:val="cs-CZ" w:bidi="cs-CZ"/>
        </w:rPr>
        <w:t xml:space="preserve">. </w:t>
      </w:r>
      <w:r w:rsidR="001B4D1C" w:rsidRPr="007E12CB">
        <w:rPr>
          <w:lang w:val="cs-CZ" w:bidi="cs-CZ"/>
        </w:rPr>
        <w:t>Kromě toho se doporučuje uzavřít i pojištění pro případ ztráty nebo odcizení dokladů, cestovních lístků a zavazadel.</w:t>
      </w:r>
      <w:r w:rsidR="001B5C9D">
        <w:rPr>
          <w:lang w:val="cs-CZ" w:bidi="cs-CZ"/>
        </w:rPr>
        <w:t xml:space="preserve">                                      </w:t>
      </w:r>
      <w:r w:rsidR="00686D1D" w:rsidRPr="007E12CB">
        <w:rPr>
          <w:lang w:val="cs-CZ" w:bidi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6373093B" w14:textId="440B8061" w:rsidR="00C706D5" w:rsidRPr="007E12CB" w:rsidRDefault="00BA405A" w:rsidP="00C706D5">
      <w:pPr>
        <w:ind w:left="567" w:hanging="567"/>
        <w:jc w:val="both"/>
        <w:rPr>
          <w:lang w:val="cs-CZ" w:bidi="cs-CZ"/>
        </w:rPr>
      </w:pPr>
      <w:r w:rsidRPr="007E12CB">
        <w:rPr>
          <w:lang w:val="cs-CZ" w:bidi="cs-CZ"/>
        </w:rPr>
        <w:t>6</w:t>
      </w:r>
      <w:r w:rsidR="00686D1D" w:rsidRPr="007E12CB">
        <w:rPr>
          <w:lang w:val="cs-CZ" w:bidi="cs-CZ"/>
        </w:rPr>
        <w:t>.3</w:t>
      </w:r>
      <w:r w:rsidR="00C706D5" w:rsidRPr="007E12CB">
        <w:rPr>
          <w:lang w:val="cs-CZ" w:bidi="cs-CZ"/>
        </w:rPr>
        <w:tab/>
        <w:t>Stranou odpovědnou za uzavření pojištění je</w:t>
      </w:r>
      <w:r w:rsidR="007E12CB">
        <w:rPr>
          <w:lang w:val="cs-CZ" w:bidi="cs-CZ"/>
        </w:rPr>
        <w:t xml:space="preserve"> </w:t>
      </w:r>
      <w:r w:rsidR="00C706D5" w:rsidRPr="007E12CB">
        <w:rPr>
          <w:lang w:val="cs-CZ" w:bidi="cs-CZ"/>
        </w:rPr>
        <w:t xml:space="preserve">vysílající organizace. </w:t>
      </w:r>
    </w:p>
    <w:p w14:paraId="1737657C" w14:textId="77777777" w:rsidR="00F11963" w:rsidRPr="000E0D50" w:rsidRDefault="00F11963" w:rsidP="00F11963">
      <w:pPr>
        <w:ind w:left="567" w:hanging="567"/>
        <w:jc w:val="both"/>
        <w:rPr>
          <w:lang w:val="cs-CZ"/>
        </w:rPr>
      </w:pPr>
    </w:p>
    <w:p w14:paraId="379A1957" w14:textId="3D5A4785" w:rsidR="00B12075" w:rsidRPr="000E0D50" w:rsidRDefault="2156E4C0" w:rsidP="00891244">
      <w:pPr>
        <w:pBdr>
          <w:bottom w:val="single" w:sz="6" w:space="1" w:color="auto"/>
        </w:pBdr>
        <w:jc w:val="both"/>
        <w:rPr>
          <w:lang w:val="cs-CZ"/>
        </w:rPr>
      </w:pPr>
      <w:r w:rsidRPr="00DA2EF7">
        <w:rPr>
          <w:lang w:val="cs-CZ" w:bidi="cs-CZ"/>
        </w:rPr>
        <w:t xml:space="preserve">ČLÁNEK </w:t>
      </w:r>
      <w:r w:rsidR="00BA405A">
        <w:rPr>
          <w:lang w:val="cs-CZ" w:bidi="cs-CZ"/>
        </w:rPr>
        <w:t>7</w:t>
      </w:r>
      <w:r w:rsidRPr="00DA2EF7">
        <w:rPr>
          <w:lang w:val="cs-CZ" w:bidi="cs-CZ"/>
        </w:rPr>
        <w:t xml:space="preserve"> – ONLINE PODPORA JAZYKA (OLS)</w:t>
      </w:r>
      <w:r w:rsidR="007E12CB">
        <w:rPr>
          <w:lang w:val="cs-CZ" w:bidi="cs-CZ"/>
        </w:rPr>
        <w:t xml:space="preserve"> není relevantní</w:t>
      </w:r>
    </w:p>
    <w:p w14:paraId="0FCD43AB" w14:textId="0294158F" w:rsidR="00DB1A03" w:rsidRPr="000E0D50" w:rsidRDefault="001C4936" w:rsidP="0066733A">
      <w:pPr>
        <w:ind w:left="567" w:hanging="567"/>
        <w:jc w:val="both"/>
        <w:rPr>
          <w:lang w:val="cs-CZ"/>
        </w:rPr>
      </w:pPr>
      <w:r>
        <w:rPr>
          <w:lang w:val="cs-CZ" w:bidi="cs-CZ"/>
        </w:rPr>
        <w:t>7</w:t>
      </w:r>
      <w:r w:rsidR="00B12075" w:rsidRPr="000E0D50">
        <w:rPr>
          <w:lang w:val="cs-CZ" w:bidi="cs-CZ"/>
        </w:rPr>
        <w:t>.1</w:t>
      </w:r>
      <w:r w:rsidR="00B12075" w:rsidRPr="000E0D50">
        <w:rPr>
          <w:lang w:val="cs-CZ" w:bidi="cs-CZ"/>
        </w:rPr>
        <w:tab/>
      </w:r>
      <w:r w:rsidRPr="001C4936">
        <w:rPr>
          <w:lang w:val="cs-CZ" w:bidi="cs-CZ"/>
        </w:rPr>
        <w:t>Účastník může před začátkem mobility vyplnit jazykové hodnocení OLS v jazyce, ve kterém bude probíhat mobilita (pokud je k dispozici) a využívat jazykové kurzy dostupné v platformě OLS.</w:t>
      </w:r>
    </w:p>
    <w:p w14:paraId="23AA4159" w14:textId="0F4CEC87" w:rsidR="004A4617" w:rsidRDefault="004A4617" w:rsidP="00A670BA">
      <w:pPr>
        <w:jc w:val="both"/>
        <w:rPr>
          <w:lang w:val="cs-CZ" w:bidi="cs-CZ"/>
        </w:rPr>
      </w:pPr>
    </w:p>
    <w:p w14:paraId="5599C3E1" w14:textId="4A3E3C35" w:rsidR="009B7B70" w:rsidRPr="000E0D50" w:rsidRDefault="2156E4C0" w:rsidP="2156E4C0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 xml:space="preserve">ČLÁNEK </w:t>
      </w:r>
      <w:r w:rsidR="00A670BA">
        <w:rPr>
          <w:lang w:val="cs-CZ" w:bidi="cs-CZ"/>
        </w:rPr>
        <w:t>8</w:t>
      </w:r>
      <w:r w:rsidRPr="000E0D50">
        <w:rPr>
          <w:lang w:val="cs-CZ" w:bidi="cs-CZ"/>
        </w:rPr>
        <w:t xml:space="preserve"> – ZPRÁVA ÚČASTNÍKA</w:t>
      </w:r>
      <w:r w:rsidR="006B5878">
        <w:rPr>
          <w:lang w:val="cs-CZ" w:bidi="cs-CZ"/>
        </w:rPr>
        <w:t xml:space="preserve"> (EU SURVEY)</w:t>
      </w:r>
    </w:p>
    <w:p w14:paraId="717D6D23" w14:textId="0B534997" w:rsidR="003207E7" w:rsidRPr="000E0D50" w:rsidRDefault="00A670BA" w:rsidP="00DF073F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 w:bidi="cs-CZ"/>
        </w:rPr>
        <w:t>8</w:t>
      </w:r>
      <w:r w:rsidR="004A4617" w:rsidRPr="000E0D50">
        <w:rPr>
          <w:lang w:val="cs-CZ" w:bidi="cs-CZ"/>
        </w:rPr>
        <w:t>.1</w:t>
      </w:r>
      <w:r w:rsidR="004A4617" w:rsidRPr="000E0D50">
        <w:rPr>
          <w:lang w:val="cs-CZ" w:bidi="cs-CZ"/>
        </w:rPr>
        <w:tab/>
      </w:r>
      <w:r w:rsidR="004A4617" w:rsidRPr="00586FC1">
        <w:rPr>
          <w:lang w:val="cs-CZ" w:bidi="cs-CZ"/>
        </w:rPr>
        <w:t>Účastník vyplní a předloží zprávu o své zkušenosti s mobilitou (prostřednictvím online nástroje EU</w:t>
      </w:r>
      <w:r w:rsidR="000E0D50" w:rsidRPr="00586FC1">
        <w:rPr>
          <w:lang w:val="cs-CZ" w:bidi="cs-CZ"/>
        </w:rPr>
        <w:t xml:space="preserve"> </w:t>
      </w:r>
      <w:proofErr w:type="spellStart"/>
      <w:r w:rsidR="004A4617" w:rsidRPr="00586FC1">
        <w:rPr>
          <w:lang w:val="cs-CZ" w:bidi="cs-CZ"/>
        </w:rPr>
        <w:t>Survey</w:t>
      </w:r>
      <w:proofErr w:type="spellEnd"/>
      <w:r w:rsidR="004A4617" w:rsidRPr="00586FC1">
        <w:rPr>
          <w:lang w:val="cs-CZ" w:bidi="cs-CZ"/>
        </w:rPr>
        <w:t xml:space="preserve">) do </w:t>
      </w:r>
      <w:r w:rsidR="00E870AD" w:rsidRPr="00586FC1">
        <w:rPr>
          <w:lang w:val="cs-CZ" w:bidi="cs-CZ"/>
        </w:rPr>
        <w:t>30</w:t>
      </w:r>
      <w:r w:rsidR="004A4617" w:rsidRPr="000E0D50">
        <w:rPr>
          <w:lang w:val="cs-CZ" w:bidi="cs-CZ"/>
        </w:rPr>
        <w:t xml:space="preserve"> kalendářních dnů od obdržení výzvy k jejímu </w:t>
      </w:r>
      <w:r w:rsidR="00007260">
        <w:rPr>
          <w:lang w:val="cs-CZ" w:bidi="cs-CZ"/>
        </w:rPr>
        <w:t>podání</w:t>
      </w:r>
      <w:r w:rsidR="004A4617" w:rsidRPr="000E0D50">
        <w:rPr>
          <w:lang w:val="cs-CZ" w:bidi="cs-CZ"/>
        </w:rPr>
        <w:t xml:space="preserve">. </w:t>
      </w:r>
      <w:r w:rsidR="006B5878" w:rsidRPr="007E12CB">
        <w:rPr>
          <w:color w:val="000000" w:themeColor="text1"/>
          <w:lang w:val="cs-CZ"/>
        </w:rPr>
        <w:t xml:space="preserve">Přístup k této zprávě obdrží účastník na svůj kontaktní e-mail. </w:t>
      </w:r>
      <w:r w:rsidR="004A4617" w:rsidRPr="007E12CB">
        <w:rPr>
          <w:color w:val="000000" w:themeColor="text1"/>
          <w:lang w:val="cs-CZ" w:bidi="cs-CZ"/>
        </w:rPr>
        <w:t xml:space="preserve">Účastníci, kteří online závěrečnou zprávu nevyplní a neodevzdají, mohou </w:t>
      </w:r>
      <w:r w:rsidR="004A4617" w:rsidRPr="000E0D50">
        <w:rPr>
          <w:lang w:val="cs-CZ" w:bidi="cs-CZ"/>
        </w:rPr>
        <w:t>být svou organizací vyzváni k částečnému nebo úplnému vrácení obdržené finanční podpory.</w:t>
      </w:r>
    </w:p>
    <w:p w14:paraId="1BFF1D3A" w14:textId="77777777" w:rsidR="007F1FAC" w:rsidRPr="007F1FAC" w:rsidRDefault="007F1FAC" w:rsidP="007F1FAC">
      <w:pPr>
        <w:pBdr>
          <w:bottom w:val="single" w:sz="6" w:space="1" w:color="auto"/>
        </w:pBdr>
        <w:jc w:val="both"/>
        <w:rPr>
          <w:b/>
          <w:color w:val="00B050"/>
          <w:lang w:val="cs-CZ"/>
        </w:rPr>
      </w:pPr>
    </w:p>
    <w:p w14:paraId="29F7227B" w14:textId="2DB7AF10" w:rsidR="007F1FAC" w:rsidRPr="007E12CB" w:rsidRDefault="007F1FAC" w:rsidP="007F1FAC">
      <w:pPr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 xml:space="preserve">ČLÁNEK </w:t>
      </w:r>
      <w:r w:rsidR="005B61D0" w:rsidRPr="007E12CB">
        <w:rPr>
          <w:color w:val="000000" w:themeColor="text1"/>
          <w:lang w:val="cs-CZ"/>
        </w:rPr>
        <w:t>9</w:t>
      </w:r>
      <w:r w:rsidRPr="007E12CB">
        <w:rPr>
          <w:color w:val="000000" w:themeColor="text1"/>
          <w:lang w:val="cs-CZ"/>
        </w:rPr>
        <w:t xml:space="preserve"> – PŘEDKLÁDÁNÍ DOKUMENTŮ</w:t>
      </w:r>
    </w:p>
    <w:p w14:paraId="08F299FC" w14:textId="6A8ACB91" w:rsidR="007F1FAC" w:rsidRPr="007E12CB" w:rsidRDefault="007F1FAC" w:rsidP="005D5983">
      <w:pPr>
        <w:pStyle w:val="Odstavecseseznamem"/>
        <w:numPr>
          <w:ilvl w:val="2"/>
          <w:numId w:val="16"/>
        </w:numPr>
        <w:tabs>
          <w:tab w:val="left" w:pos="567"/>
        </w:tabs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Účastník se zavazuje po ukončení mobility předložit organizaci:</w:t>
      </w:r>
    </w:p>
    <w:p w14:paraId="3C513E53" w14:textId="745EB226" w:rsidR="007F1FAC" w:rsidRPr="007E12CB" w:rsidRDefault="007F1FAC" w:rsidP="007E12CB">
      <w:pPr>
        <w:pStyle w:val="Odstavecseseznamem"/>
        <w:numPr>
          <w:ilvl w:val="0"/>
          <w:numId w:val="19"/>
        </w:numPr>
        <w:snapToGrid/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dokument přijímající organizace obsahující potvrzené datum zahájení a ukončení mobility, včetně virtuální složky. Jedná se o potvrzení o účasti.</w:t>
      </w:r>
    </w:p>
    <w:p w14:paraId="029064A5" w14:textId="77777777" w:rsidR="007E12CB" w:rsidRPr="007E12CB" w:rsidRDefault="007E12CB" w:rsidP="007E12CB">
      <w:pPr>
        <w:pStyle w:val="Odstavecseseznamem"/>
        <w:snapToGrid/>
        <w:ind w:left="927"/>
        <w:jc w:val="both"/>
        <w:rPr>
          <w:color w:val="000000" w:themeColor="text1"/>
          <w:lang w:val="cs-CZ"/>
        </w:rPr>
      </w:pPr>
    </w:p>
    <w:p w14:paraId="67688855" w14:textId="6E78CF0C" w:rsidR="00C43892" w:rsidRPr="007E12CB" w:rsidRDefault="00C43892" w:rsidP="00C43892">
      <w:pPr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 xml:space="preserve">ČLÁNEK </w:t>
      </w:r>
      <w:r w:rsidR="00A36EA1" w:rsidRPr="007E12CB">
        <w:rPr>
          <w:color w:val="000000" w:themeColor="text1"/>
          <w:lang w:val="cs-CZ"/>
        </w:rPr>
        <w:t>10</w:t>
      </w:r>
      <w:r w:rsidRPr="007E12CB">
        <w:rPr>
          <w:color w:val="000000" w:themeColor="text1"/>
          <w:lang w:val="cs-CZ"/>
        </w:rPr>
        <w:t xml:space="preserve"> – DALŠÍ POVINNOSTI ÚČASTNÍKA</w:t>
      </w:r>
    </w:p>
    <w:p w14:paraId="304320D0" w14:textId="57DE5ED0" w:rsidR="00C43892" w:rsidRPr="007E12CB" w:rsidRDefault="00C43892" w:rsidP="007E12CB">
      <w:pPr>
        <w:pStyle w:val="Odstavecseseznamem"/>
        <w:numPr>
          <w:ilvl w:val="2"/>
          <w:numId w:val="20"/>
        </w:numPr>
        <w:tabs>
          <w:tab w:val="left" w:pos="567"/>
        </w:tabs>
        <w:jc w:val="both"/>
        <w:rPr>
          <w:color w:val="000000" w:themeColor="text1"/>
          <w:u w:val="single"/>
        </w:rPr>
      </w:pPr>
      <w:proofErr w:type="spellStart"/>
      <w:r w:rsidRPr="007E12CB">
        <w:rPr>
          <w:color w:val="000000" w:themeColor="text1"/>
          <w:u w:val="single"/>
        </w:rPr>
        <w:t>Povinností</w:t>
      </w:r>
      <w:proofErr w:type="spellEnd"/>
      <w:r w:rsidRPr="007E12CB">
        <w:rPr>
          <w:color w:val="000000" w:themeColor="text1"/>
          <w:u w:val="single"/>
        </w:rPr>
        <w:t xml:space="preserve"> </w:t>
      </w:r>
      <w:proofErr w:type="spellStart"/>
      <w:r w:rsidRPr="007E12CB">
        <w:rPr>
          <w:color w:val="000000" w:themeColor="text1"/>
          <w:u w:val="single"/>
        </w:rPr>
        <w:t>účastníka</w:t>
      </w:r>
      <w:proofErr w:type="spellEnd"/>
      <w:r w:rsidRPr="007E12CB">
        <w:rPr>
          <w:color w:val="000000" w:themeColor="text1"/>
          <w:u w:val="single"/>
        </w:rPr>
        <w:t xml:space="preserve"> </w:t>
      </w:r>
      <w:proofErr w:type="gramStart"/>
      <w:r w:rsidRPr="007E12CB">
        <w:rPr>
          <w:color w:val="000000" w:themeColor="text1"/>
          <w:u w:val="single"/>
        </w:rPr>
        <w:t>je:</w:t>
      </w:r>
      <w:proofErr w:type="gramEnd"/>
    </w:p>
    <w:p w14:paraId="2B87ABC7" w14:textId="14FB502E" w:rsidR="004129A1" w:rsidRPr="001B5C9D" w:rsidRDefault="007E12CB" w:rsidP="007E12CB">
      <w:pPr>
        <w:pStyle w:val="Odstavecseseznamem"/>
        <w:numPr>
          <w:ilvl w:val="0"/>
          <w:numId w:val="19"/>
        </w:numPr>
        <w:tabs>
          <w:tab w:val="left" w:pos="426"/>
          <w:tab w:val="left" w:pos="709"/>
        </w:tabs>
        <w:snapToGrid/>
        <w:jc w:val="both"/>
        <w:rPr>
          <w:color w:val="000000" w:themeColor="text1"/>
        </w:rPr>
      </w:pPr>
      <w:proofErr w:type="spellStart"/>
      <w:r w:rsidRPr="001B5C9D">
        <w:rPr>
          <w:color w:val="000000" w:themeColor="text1"/>
        </w:rPr>
        <w:t>S</w:t>
      </w:r>
      <w:r w:rsidR="004129A1" w:rsidRPr="001B5C9D">
        <w:rPr>
          <w:color w:val="000000" w:themeColor="text1"/>
        </w:rPr>
        <w:t>plnit</w:t>
      </w:r>
      <w:proofErr w:type="spellEnd"/>
      <w:r w:rsidRPr="001B5C9D">
        <w:rPr>
          <w:color w:val="000000" w:themeColor="text1"/>
        </w:rPr>
        <w:t xml:space="preserve"> </w:t>
      </w:r>
      <w:proofErr w:type="spellStart"/>
      <w:r w:rsidR="004129A1" w:rsidRPr="001B5C9D">
        <w:rPr>
          <w:color w:val="000000" w:themeColor="text1"/>
        </w:rPr>
        <w:t>schválený</w:t>
      </w:r>
      <w:proofErr w:type="spellEnd"/>
      <w:r w:rsidR="004129A1" w:rsidRPr="001B5C9D">
        <w:rPr>
          <w:color w:val="000000" w:themeColor="text1"/>
        </w:rPr>
        <w:t xml:space="preserve"> </w:t>
      </w:r>
      <w:r w:rsidRPr="001B5C9D">
        <w:rPr>
          <w:color w:val="000000" w:themeColor="text1"/>
          <w:lang w:val="cs-CZ"/>
        </w:rPr>
        <w:t>p</w:t>
      </w:r>
      <w:proofErr w:type="spellStart"/>
      <w:r w:rsidR="004129A1" w:rsidRPr="001B5C9D">
        <w:rPr>
          <w:color w:val="000000" w:themeColor="text1"/>
        </w:rPr>
        <w:t>racovní</w:t>
      </w:r>
      <w:proofErr w:type="spellEnd"/>
      <w:r w:rsidR="004129A1" w:rsidRPr="001B5C9D">
        <w:rPr>
          <w:color w:val="000000" w:themeColor="text1"/>
        </w:rPr>
        <w:t xml:space="preserve"> </w:t>
      </w:r>
      <w:proofErr w:type="spellStart"/>
      <w:r w:rsidR="004129A1" w:rsidRPr="001B5C9D">
        <w:rPr>
          <w:color w:val="000000" w:themeColor="text1"/>
        </w:rPr>
        <w:t>plán</w:t>
      </w:r>
      <w:proofErr w:type="spellEnd"/>
      <w:r w:rsidR="004129A1" w:rsidRPr="001B5C9D">
        <w:rPr>
          <w:color w:val="000000" w:themeColor="text1"/>
        </w:rPr>
        <w:t xml:space="preserve"> na </w:t>
      </w:r>
      <w:proofErr w:type="spellStart"/>
      <w:r w:rsidR="004129A1" w:rsidRPr="001B5C9D">
        <w:rPr>
          <w:color w:val="000000" w:themeColor="text1"/>
        </w:rPr>
        <w:t>přijímající</w:t>
      </w:r>
      <w:proofErr w:type="spellEnd"/>
      <w:r w:rsidR="004129A1" w:rsidRPr="001B5C9D">
        <w:rPr>
          <w:color w:val="000000" w:themeColor="text1"/>
        </w:rPr>
        <w:t xml:space="preserve"> </w:t>
      </w:r>
      <w:proofErr w:type="spellStart"/>
      <w:r w:rsidR="004129A1" w:rsidRPr="001B5C9D">
        <w:rPr>
          <w:color w:val="000000" w:themeColor="text1"/>
        </w:rPr>
        <w:t>organizaci</w:t>
      </w:r>
      <w:proofErr w:type="spellEnd"/>
      <w:r w:rsidR="004129A1" w:rsidRPr="001B5C9D">
        <w:rPr>
          <w:color w:val="000000" w:themeColor="text1"/>
        </w:rPr>
        <w:t xml:space="preserve">, </w:t>
      </w:r>
      <w:proofErr w:type="spellStart"/>
      <w:r w:rsidR="004129A1" w:rsidRPr="001B5C9D">
        <w:rPr>
          <w:color w:val="000000" w:themeColor="text1"/>
        </w:rPr>
        <w:t>tzn</w:t>
      </w:r>
      <w:proofErr w:type="spellEnd"/>
      <w:r w:rsidR="004129A1" w:rsidRPr="001B5C9D">
        <w:rPr>
          <w:color w:val="000000" w:themeColor="text1"/>
        </w:rPr>
        <w:t xml:space="preserve">. </w:t>
      </w:r>
      <w:proofErr w:type="spellStart"/>
      <w:proofErr w:type="gramStart"/>
      <w:r w:rsidR="004129A1" w:rsidRPr="001B5C9D">
        <w:rPr>
          <w:color w:val="000000" w:themeColor="text1"/>
        </w:rPr>
        <w:t>splnit</w:t>
      </w:r>
      <w:proofErr w:type="spellEnd"/>
      <w:proofErr w:type="gramEnd"/>
      <w:r w:rsidR="004129A1" w:rsidRPr="001B5C9D">
        <w:rPr>
          <w:color w:val="000000" w:themeColor="text1"/>
        </w:rPr>
        <w:t xml:space="preserve"> </w:t>
      </w:r>
      <w:proofErr w:type="spellStart"/>
      <w:r w:rsidR="004129A1" w:rsidRPr="001B5C9D">
        <w:rPr>
          <w:color w:val="000000" w:themeColor="text1"/>
        </w:rPr>
        <w:t>minimální</w:t>
      </w:r>
      <w:proofErr w:type="spellEnd"/>
      <w:r w:rsidR="004129A1" w:rsidRPr="001B5C9D">
        <w:rPr>
          <w:color w:val="000000" w:themeColor="text1"/>
        </w:rPr>
        <w:t xml:space="preserve"> </w:t>
      </w:r>
      <w:r w:rsidR="004129A1" w:rsidRPr="001B5C9D">
        <w:rPr>
          <w:color w:val="000000" w:themeColor="text1"/>
          <w:lang w:val="cs-CZ" w:bidi="cs-CZ"/>
        </w:rPr>
        <w:t>programu mobility zaměstnanců.</w:t>
      </w:r>
    </w:p>
    <w:p w14:paraId="6F26DF71" w14:textId="77777777" w:rsidR="00755872" w:rsidRPr="007E12CB" w:rsidRDefault="00755872" w:rsidP="00755872">
      <w:pPr>
        <w:tabs>
          <w:tab w:val="left" w:pos="567"/>
        </w:tabs>
        <w:ind w:left="567" w:hanging="567"/>
        <w:jc w:val="both"/>
        <w:rPr>
          <w:color w:val="000000" w:themeColor="text1"/>
          <w:u w:val="single"/>
        </w:rPr>
      </w:pPr>
    </w:p>
    <w:p w14:paraId="4156DAE0" w14:textId="38DEEAD8" w:rsidR="00755872" w:rsidRPr="007E12CB" w:rsidRDefault="00755872" w:rsidP="00755872">
      <w:pPr>
        <w:keepNext/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lastRenderedPageBreak/>
        <w:t>ČLÁNEK 1</w:t>
      </w:r>
      <w:r w:rsidR="00F2232D" w:rsidRPr="007E12CB">
        <w:rPr>
          <w:color w:val="000000" w:themeColor="text1"/>
          <w:lang w:val="cs-CZ"/>
        </w:rPr>
        <w:t>1</w:t>
      </w:r>
      <w:r w:rsidRPr="007E12CB">
        <w:rPr>
          <w:color w:val="000000" w:themeColor="text1"/>
          <w:lang w:val="cs-CZ"/>
        </w:rPr>
        <w:t xml:space="preserve"> – OPRÁVNĚNÉ AKTIVITY</w:t>
      </w:r>
    </w:p>
    <w:p w14:paraId="5FC578EA" w14:textId="5D3CEA70" w:rsidR="008D4725" w:rsidRPr="007E12CB" w:rsidRDefault="00755872" w:rsidP="007E12CB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1</w:t>
      </w:r>
      <w:r w:rsidR="00F2232D" w:rsidRPr="007E12CB">
        <w:rPr>
          <w:color w:val="000000" w:themeColor="text1"/>
          <w:lang w:val="cs-CZ"/>
        </w:rPr>
        <w:t>1</w:t>
      </w:r>
      <w:r w:rsidRPr="007E12CB">
        <w:rPr>
          <w:color w:val="000000" w:themeColor="text1"/>
          <w:lang w:val="cs-CZ"/>
        </w:rPr>
        <w:t>.1</w:t>
      </w:r>
      <w:r w:rsidRPr="007E12CB">
        <w:rPr>
          <w:color w:val="000000" w:themeColor="text1"/>
          <w:lang w:val="cs-CZ"/>
        </w:rPr>
        <w:tab/>
      </w:r>
      <w:r w:rsidR="008D4725" w:rsidRPr="007E12CB">
        <w:rPr>
          <w:color w:val="000000" w:themeColor="text1"/>
          <w:lang w:val="cs-CZ"/>
        </w:rPr>
        <w:t>Oprávněnou aktivitou účastníka v přijímající organizaci jsou aktivity v rozsahu schváleného programu mobility</w:t>
      </w:r>
      <w:r w:rsidR="004B5886" w:rsidRPr="007E12CB">
        <w:rPr>
          <w:color w:val="000000" w:themeColor="text1"/>
          <w:lang w:val="cs-CZ"/>
        </w:rPr>
        <w:t xml:space="preserve"> zaměstnanců</w:t>
      </w:r>
      <w:r w:rsidR="008D4725" w:rsidRPr="007E12CB">
        <w:rPr>
          <w:color w:val="000000" w:themeColor="text1"/>
          <w:lang w:val="cs-CZ"/>
        </w:rPr>
        <w:t>.</w:t>
      </w:r>
      <w:r w:rsidR="00CB3F83" w:rsidRPr="007E12CB">
        <w:rPr>
          <w:color w:val="000000" w:themeColor="text1"/>
          <w:lang w:val="cs-CZ"/>
        </w:rPr>
        <w:t xml:space="preserve"> Účastník může dále realizovat činnosti spojené s propagací UHK a programu Erasmus+, aktivity jako domlouvání spolupráce, účast na společných projektech atp.</w:t>
      </w:r>
    </w:p>
    <w:p w14:paraId="24823AB9" w14:textId="77777777" w:rsidR="00E92BF6" w:rsidRDefault="00E92BF6" w:rsidP="00E92BF6">
      <w:pPr>
        <w:tabs>
          <w:tab w:val="left" w:pos="567"/>
        </w:tabs>
        <w:ind w:left="567" w:hanging="567"/>
        <w:jc w:val="both"/>
        <w:rPr>
          <w:lang w:val="cs-CZ"/>
        </w:rPr>
      </w:pPr>
      <w:bookmarkStart w:id="4" w:name="_Hlk110945859"/>
    </w:p>
    <w:p w14:paraId="33139384" w14:textId="28793C7C" w:rsidR="00E92BF6" w:rsidRDefault="00E92BF6" w:rsidP="00E92BF6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>ČLÁNEK</w:t>
      </w:r>
      <w:r>
        <w:rPr>
          <w:lang w:val="cs-CZ" w:bidi="cs-CZ"/>
        </w:rPr>
        <w:t xml:space="preserve"> 1</w:t>
      </w:r>
      <w:r w:rsidR="00DD73EB">
        <w:rPr>
          <w:lang w:val="cs-CZ" w:bidi="cs-CZ"/>
        </w:rPr>
        <w:t>2</w:t>
      </w:r>
      <w:r>
        <w:rPr>
          <w:lang w:val="cs-CZ" w:bidi="cs-CZ"/>
        </w:rPr>
        <w:t xml:space="preserve"> – </w:t>
      </w:r>
      <w:r w:rsidR="00DD73EB">
        <w:rPr>
          <w:lang w:val="cs-CZ" w:bidi="cs-CZ"/>
        </w:rPr>
        <w:t>ETIKA A HODNOTY</w:t>
      </w:r>
    </w:p>
    <w:p w14:paraId="00DC87BD" w14:textId="780D1719" w:rsidR="00B5317E" w:rsidRPr="00B5317E" w:rsidRDefault="005B61D0" w:rsidP="00B5317E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lang w:val="cs-CZ" w:bidi="cs-CZ"/>
        </w:rPr>
      </w:pPr>
      <w:r>
        <w:rPr>
          <w:lang w:val="cs-CZ" w:bidi="cs-CZ"/>
        </w:rPr>
        <w:t>1</w:t>
      </w:r>
      <w:r w:rsidR="00B5317E">
        <w:rPr>
          <w:lang w:val="cs-CZ" w:bidi="cs-CZ"/>
        </w:rPr>
        <w:t>2.1</w:t>
      </w:r>
      <w:r w:rsidR="00B5317E">
        <w:rPr>
          <w:lang w:val="cs-CZ" w:bidi="cs-CZ"/>
        </w:rPr>
        <w:tab/>
      </w:r>
      <w:r w:rsidR="00B5317E" w:rsidRPr="00B5317E">
        <w:rPr>
          <w:u w:val="single"/>
          <w:lang w:val="cs-CZ" w:bidi="cs-CZ"/>
        </w:rPr>
        <w:t>Etika</w:t>
      </w:r>
      <w:r w:rsidR="00B5317E" w:rsidRPr="00B5317E">
        <w:rPr>
          <w:lang w:val="cs-CZ" w:bidi="cs-CZ"/>
        </w:rPr>
        <w:t>: Mobilita musí být realizována v souladu s nejvyššími etickými standardy a platnými právními předpisy EU, mezinárodními a vnitrostátními právními předpisy o etických zásadách.</w:t>
      </w:r>
    </w:p>
    <w:p w14:paraId="275003F3" w14:textId="06274268" w:rsidR="00B5317E" w:rsidRPr="00B5317E" w:rsidRDefault="00B5317E" w:rsidP="00B5317E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lang w:val="cs-CZ" w:bidi="cs-CZ"/>
        </w:rPr>
      </w:pPr>
      <w:r>
        <w:rPr>
          <w:lang w:val="cs-CZ" w:bidi="cs-CZ"/>
        </w:rPr>
        <w:t>12</w:t>
      </w:r>
      <w:r w:rsidRPr="00B5317E">
        <w:rPr>
          <w:lang w:val="cs-CZ" w:bidi="cs-CZ"/>
        </w:rPr>
        <w:t>.2</w:t>
      </w:r>
      <w:r w:rsidRPr="00B5317E">
        <w:rPr>
          <w:lang w:val="cs-CZ" w:bidi="cs-CZ"/>
        </w:rPr>
        <w:tab/>
      </w:r>
      <w:r w:rsidRPr="00B5317E">
        <w:rPr>
          <w:u w:val="single"/>
          <w:lang w:val="cs-CZ" w:bidi="cs-CZ"/>
        </w:rPr>
        <w:t>Hodnoty</w:t>
      </w:r>
      <w:r w:rsidRPr="00B5317E">
        <w:rPr>
          <w:lang w:val="cs-CZ" w:bidi="cs-CZ"/>
        </w:rPr>
        <w:t>: Účastník se musí zavázat k dodržování základních hodnot EU (jako je respekt k lidské důstojnosti, svoboda, demokracie, rovnost, právní stát a lidská práva, včetně práv menšin).</w:t>
      </w:r>
    </w:p>
    <w:p w14:paraId="69321565" w14:textId="75D9441C" w:rsidR="005B61D0" w:rsidRDefault="00B5317E" w:rsidP="00B5317E">
      <w:pPr>
        <w:pBdr>
          <w:bottom w:val="single" w:sz="4" w:space="1" w:color="auto"/>
        </w:pBdr>
        <w:tabs>
          <w:tab w:val="left" w:pos="567"/>
        </w:tabs>
        <w:jc w:val="both"/>
        <w:rPr>
          <w:lang w:val="cs-CZ" w:bidi="cs-CZ"/>
        </w:rPr>
      </w:pPr>
      <w:r>
        <w:rPr>
          <w:lang w:val="cs-CZ" w:bidi="cs-CZ"/>
        </w:rPr>
        <w:t>12</w:t>
      </w:r>
      <w:r w:rsidRPr="00B5317E">
        <w:rPr>
          <w:lang w:val="cs-CZ" w:bidi="cs-CZ"/>
        </w:rPr>
        <w:t>.3</w:t>
      </w:r>
      <w:r w:rsidRPr="00B5317E">
        <w:rPr>
          <w:lang w:val="cs-CZ" w:bidi="cs-CZ"/>
        </w:rPr>
        <w:tab/>
        <w:t>Pokud účastník poruší kteroukoli z těchto zásad, podle tohoto článku, může být grant snížen.</w:t>
      </w:r>
    </w:p>
    <w:p w14:paraId="766E3845" w14:textId="77777777" w:rsidR="005B61D0" w:rsidRDefault="005B61D0" w:rsidP="005B61D0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lang w:val="cs-CZ" w:bidi="cs-CZ"/>
        </w:rPr>
      </w:pPr>
    </w:p>
    <w:p w14:paraId="1DCACE58" w14:textId="38832CD6" w:rsidR="004F0BB1" w:rsidRPr="000E0D50" w:rsidRDefault="004F0BB1" w:rsidP="00D94E00">
      <w:pPr>
        <w:pBdr>
          <w:bottom w:val="single" w:sz="4" w:space="1" w:color="auto"/>
        </w:pBdr>
        <w:tabs>
          <w:tab w:val="left" w:pos="567"/>
        </w:tabs>
        <w:ind w:left="567" w:hanging="567"/>
        <w:jc w:val="both"/>
        <w:rPr>
          <w:lang w:val="cs-CZ"/>
        </w:rPr>
      </w:pPr>
      <w:r w:rsidRPr="000E0D50">
        <w:rPr>
          <w:lang w:val="cs-CZ" w:bidi="cs-CZ"/>
        </w:rPr>
        <w:t xml:space="preserve">ČLÁNEK </w:t>
      </w:r>
      <w:r w:rsidR="00B72149">
        <w:rPr>
          <w:lang w:val="cs-CZ" w:bidi="cs-CZ"/>
        </w:rPr>
        <w:t>1</w:t>
      </w:r>
      <w:r w:rsidR="00B5317E">
        <w:rPr>
          <w:lang w:val="cs-CZ" w:bidi="cs-CZ"/>
        </w:rPr>
        <w:t>3</w:t>
      </w:r>
      <w:r w:rsidRPr="000E0D50">
        <w:rPr>
          <w:lang w:val="cs-CZ" w:bidi="cs-CZ"/>
        </w:rPr>
        <w:t xml:space="preserve"> – OCHRANA ÚDAJŮ</w:t>
      </w:r>
    </w:p>
    <w:p w14:paraId="0891FBD3" w14:textId="6513886C" w:rsidR="00B5317E" w:rsidRDefault="00B5317E" w:rsidP="00B5317E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13.1</w:t>
      </w:r>
      <w:r>
        <w:rPr>
          <w:lang w:val="cs-CZ"/>
        </w:rPr>
        <w:tab/>
      </w:r>
      <w:r w:rsidRPr="00B5317E">
        <w:rPr>
          <w:lang w:val="cs-CZ"/>
        </w:rPr>
        <w:t xml:space="preserve">Financující organizace poskytne účastníkům příslušné prohlášení o ochraně osobních údajů pro zpracování jejich osobních údajů předtím, než budou tyto údaje uvedeny v elektronických systémech pro správu mobilit programu Erasmus+: </w:t>
      </w:r>
      <w:hyperlink r:id="rId14" w:history="1">
        <w:r w:rsidR="00782402" w:rsidRPr="00E175CD">
          <w:rPr>
            <w:rStyle w:val="Hypertextovodkaz"/>
            <w:lang w:val="cs-CZ"/>
          </w:rPr>
          <w:t>https://webgate.ec.europa.eu/erasmus-esc/index/privacy-statement</w:t>
        </w:r>
      </w:hyperlink>
      <w:r w:rsidR="00782402">
        <w:rPr>
          <w:lang w:val="cs-CZ"/>
        </w:rPr>
        <w:t xml:space="preserve"> .</w:t>
      </w:r>
    </w:p>
    <w:p w14:paraId="63768D57" w14:textId="083EC312" w:rsidR="00B5317E" w:rsidRPr="00B5317E" w:rsidRDefault="00B5317E" w:rsidP="00B5317E">
      <w:pPr>
        <w:tabs>
          <w:tab w:val="left" w:pos="567"/>
        </w:tabs>
        <w:ind w:left="567" w:hanging="567"/>
        <w:jc w:val="both"/>
        <w:rPr>
          <w:lang w:val="cs-CZ"/>
        </w:rPr>
      </w:pPr>
      <w:r w:rsidRPr="00B5317E">
        <w:rPr>
          <w:lang w:val="cs-CZ"/>
        </w:rPr>
        <w:t>1</w:t>
      </w:r>
      <w:r>
        <w:rPr>
          <w:lang w:val="cs-CZ"/>
        </w:rPr>
        <w:t>3</w:t>
      </w:r>
      <w:r w:rsidRPr="00B5317E">
        <w:rPr>
          <w:lang w:val="cs-CZ"/>
        </w:rPr>
        <w:t>.2</w:t>
      </w:r>
      <w:r w:rsidRPr="00B5317E">
        <w:rPr>
          <w:lang w:val="cs-CZ"/>
        </w:rPr>
        <w:tab/>
        <w:t>Veškeré osobní údaje obsažené v této smlouvě se zpracovávají v souladu s nařízením (ES) č. 2018/1725 Evropského parlamentu a Rady o ochraně fyzických osob v souvislosti se zpracováním osobních údajů orgány a institucemi EU a o volném pohybu těchto údajů. Tyto údaje musí být zpracovávány výhradně v souvislosti s plněním smlouvy a následnými aktivitami v souladu s 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2D4C2DC5" w14:textId="70A653CB" w:rsidR="00B5317E" w:rsidRPr="00782402" w:rsidRDefault="00B5317E" w:rsidP="00B5317E">
      <w:pPr>
        <w:tabs>
          <w:tab w:val="left" w:pos="567"/>
        </w:tabs>
        <w:ind w:left="567" w:hanging="567"/>
        <w:jc w:val="both"/>
        <w:rPr>
          <w:lang w:val="cs-CZ"/>
        </w:rPr>
      </w:pPr>
      <w:r w:rsidRPr="00B5317E">
        <w:rPr>
          <w:lang w:val="cs-CZ"/>
        </w:rPr>
        <w:t>1</w:t>
      </w:r>
      <w:r>
        <w:rPr>
          <w:lang w:val="cs-CZ"/>
        </w:rPr>
        <w:t>3</w:t>
      </w:r>
      <w:r w:rsidRPr="00B5317E">
        <w:rPr>
          <w:lang w:val="cs-CZ"/>
        </w:rPr>
        <w:t>.3</w:t>
      </w:r>
      <w:r w:rsidRPr="00B5317E">
        <w:rPr>
          <w:lang w:val="cs-CZ"/>
        </w:rPr>
        <w:tab/>
        <w:t xml:space="preserve"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</w:t>
      </w:r>
      <w:r w:rsidRPr="00782402">
        <w:rPr>
          <w:lang w:val="cs-CZ"/>
        </w:rPr>
        <w:t>Evropského inspektora ochrany údajů, pokud jde o použití údajů Evropskou komisí.</w:t>
      </w:r>
    </w:p>
    <w:p w14:paraId="6B72E9E6" w14:textId="5252E5A3" w:rsidR="00782402" w:rsidRDefault="00782402" w:rsidP="00782402">
      <w:pPr>
        <w:tabs>
          <w:tab w:val="left" w:pos="567"/>
        </w:tabs>
        <w:ind w:left="567" w:hanging="567"/>
        <w:jc w:val="both"/>
        <w:rPr>
          <w:color w:val="00B050"/>
          <w:lang w:val="cs-CZ"/>
        </w:rPr>
      </w:pPr>
      <w:r w:rsidRPr="00782402">
        <w:rPr>
          <w:lang w:val="cs-CZ" w:bidi="cs-CZ"/>
        </w:rPr>
        <w:t>13.4</w:t>
      </w:r>
      <w:r w:rsidRPr="00782402">
        <w:rPr>
          <w:lang w:val="cs-CZ" w:bidi="cs-CZ"/>
        </w:rPr>
        <w:tab/>
      </w:r>
      <w:r w:rsidR="00636A4A" w:rsidRPr="007E12CB">
        <w:rPr>
          <w:color w:val="000000" w:themeColor="text1"/>
          <w:lang w:val="cs-CZ" w:bidi="cs-CZ"/>
        </w:rPr>
        <w:t xml:space="preserve">Osobní údaje účastníka uvedené v této smlouvě zpracovává správce osobních údajů UHK pro účely vyplývající z této smlouvy a pro její splnění, a to na základě čl. 6 odst. 1 písm. b) nařízení Evropského parlamentu a Rady (EU) 2016/679 o ochraně osobních údajů při jejich zpracování (GDPR). </w:t>
      </w:r>
      <w:r w:rsidRPr="007E12CB">
        <w:rPr>
          <w:color w:val="000000" w:themeColor="text1"/>
          <w:lang w:val="cs-CZ"/>
        </w:rPr>
        <w:t xml:space="preserve">Další informace o zpracování osobních údajů a o tom, jaká má účastník práva, lze nalézt na </w:t>
      </w:r>
      <w:hyperlink r:id="rId15" w:history="1">
        <w:r w:rsidRPr="00E175CD">
          <w:rPr>
            <w:rStyle w:val="Hypertextovodkaz"/>
            <w:lang w:val="cs-CZ"/>
          </w:rPr>
          <w:t>www.uhk.cz/gdpr</w:t>
        </w:r>
      </w:hyperlink>
      <w:r>
        <w:rPr>
          <w:color w:val="00B050"/>
          <w:lang w:val="cs-CZ"/>
        </w:rPr>
        <w:t>.</w:t>
      </w:r>
    </w:p>
    <w:p w14:paraId="33C57DBF" w14:textId="44E02307" w:rsidR="00821CE0" w:rsidRDefault="00821CE0" w:rsidP="00C3152B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31F9879A" w14:textId="742C22E9" w:rsidR="00E92BF6" w:rsidRPr="009E71FC" w:rsidRDefault="00E92BF6" w:rsidP="00E92BF6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>ČLÁNEK</w:t>
      </w:r>
      <w:r>
        <w:rPr>
          <w:lang w:val="cs-CZ" w:bidi="cs-CZ"/>
        </w:rPr>
        <w:t xml:space="preserve"> 14 – UKONČENÍ </w:t>
      </w:r>
      <w:r w:rsidRPr="009E71FC">
        <w:rPr>
          <w:lang w:val="cs-CZ" w:bidi="cs-CZ"/>
        </w:rPr>
        <w:t>SMLOUVY</w:t>
      </w:r>
    </w:p>
    <w:p w14:paraId="52D855E0" w14:textId="396D4761" w:rsidR="00E92BF6" w:rsidRDefault="00E92BF6" w:rsidP="00E92BF6">
      <w:pPr>
        <w:tabs>
          <w:tab w:val="left" w:pos="567"/>
        </w:tabs>
        <w:ind w:left="567" w:hanging="567"/>
        <w:jc w:val="both"/>
        <w:rPr>
          <w:lang w:val="cs-CZ"/>
        </w:rPr>
      </w:pPr>
      <w:r w:rsidRPr="009E71FC">
        <w:rPr>
          <w:lang w:val="cs-CZ"/>
        </w:rPr>
        <w:t>14.1</w:t>
      </w:r>
      <w:r w:rsidRPr="009E71FC">
        <w:rPr>
          <w:lang w:val="cs-CZ"/>
        </w:rPr>
        <w:tab/>
        <w:t>V případě, že účastník nepln</w:t>
      </w:r>
      <w:r w:rsidRPr="00E92BF6">
        <w:rPr>
          <w:lang w:val="cs-CZ"/>
        </w:rPr>
        <w:t>í některou z povinností vyplývajících z této smlouvy, a to bez ohledu na důsledky v souladu s příslušnými právními předpisy, je organizace legálně oprávněna vypovědět nebo odstoupit od smlouvy bez jakékoliv další právní formality, nepodnikne-li účastník kroky k nápravě do jednoho měsíce od obdržení oznámení doporučeným dopisem.</w:t>
      </w:r>
    </w:p>
    <w:p w14:paraId="3F3E1D25" w14:textId="2A03C076" w:rsidR="00DD73EB" w:rsidRPr="007E12CB" w:rsidRDefault="00DD73EB" w:rsidP="00E92BF6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>
        <w:rPr>
          <w:lang w:val="cs-CZ"/>
        </w:rPr>
        <w:t>14.</w:t>
      </w:r>
      <w:r w:rsidR="009E71FC">
        <w:rPr>
          <w:lang w:val="cs-CZ"/>
        </w:rPr>
        <w:t>2</w:t>
      </w:r>
      <w:r>
        <w:rPr>
          <w:lang w:val="cs-CZ"/>
        </w:rPr>
        <w:tab/>
      </w:r>
      <w:r w:rsidRPr="007E12CB">
        <w:rPr>
          <w:color w:val="000000" w:themeColor="text1"/>
          <w:lang w:val="cs-CZ"/>
        </w:rPr>
        <w:t>V případě ukončení smlouvy účastníkem z důvodu "vyšší moci", tj. nepředvídatelné výjimečné situace nebo události mimo kontrolu účastníka a není-li následkem jeho pochybení či nedbalosti</w:t>
      </w:r>
      <w:r w:rsidR="00D468B3" w:rsidRPr="007E12CB">
        <w:rPr>
          <w:color w:val="000000" w:themeColor="text1"/>
          <w:lang w:val="cs-CZ"/>
        </w:rPr>
        <w:t xml:space="preserve"> (z vyšší moci jsou vyloučeny stávky)</w:t>
      </w:r>
      <w:r w:rsidRPr="007E12CB">
        <w:rPr>
          <w:color w:val="000000" w:themeColor="text1"/>
          <w:lang w:val="cs-CZ"/>
        </w:rPr>
        <w:t>, má účastník nárok alespoň na část finanční podpory odpovídající skutečné době trvání mobility. Veškeré zbývající prostředky musí být vráceny, neexistuje-li jiná dohoda s vysílající institucí.</w:t>
      </w:r>
      <w:r w:rsidR="00D468B3" w:rsidRPr="007E12CB">
        <w:rPr>
          <w:color w:val="000000" w:themeColor="text1"/>
          <w:lang w:val="cs-CZ"/>
        </w:rPr>
        <w:t xml:space="preserve"> Případy vyšší moci musí účastník neprodleně po zjištění ohlásit svému vysílajícímu koordinátorovi programu Erasmus+, který posoudí okolnosti případu a určí, zda bude účastník mobility povinen vrátit finanční podporu a v jaké výši. Případy vyšší moci vysílající organizace hlásí národní agentuře a ta je musí následně odsouhlasit, jinak se o případ vyšší moci nejedná. Účastník je povinen si uchovávat účetní doklady a smluvní dokumentaci za vynaložené náklady spojené s mobilitou, jejichž úhradu by v případě vyšší moci nárokoval.</w:t>
      </w:r>
    </w:p>
    <w:p w14:paraId="450139FB" w14:textId="77777777" w:rsidR="00DD73EB" w:rsidRPr="007E12CB" w:rsidRDefault="00DD73EB" w:rsidP="00E92BF6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</w:p>
    <w:p w14:paraId="544D656F" w14:textId="3069E469" w:rsidR="00121A8B" w:rsidRDefault="00121A8B" w:rsidP="00121A8B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>ČLÁNEK</w:t>
      </w:r>
      <w:r>
        <w:rPr>
          <w:lang w:val="cs-CZ" w:bidi="cs-CZ"/>
        </w:rPr>
        <w:t xml:space="preserve"> 15 – KONTROLY A AUDITY</w:t>
      </w:r>
    </w:p>
    <w:p w14:paraId="6522B009" w14:textId="11C360E5" w:rsidR="00121A8B" w:rsidRDefault="00121A8B" w:rsidP="00121A8B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15.1</w:t>
      </w:r>
      <w:r>
        <w:rPr>
          <w:lang w:val="cs-CZ"/>
        </w:rPr>
        <w:tab/>
      </w:r>
      <w:r w:rsidRPr="00121A8B">
        <w:rPr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5FA9F2D3" w14:textId="77777777" w:rsidR="00121A8B" w:rsidRDefault="00121A8B" w:rsidP="00C3152B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61DC3AF1" w14:textId="35C53A90" w:rsidR="00957241" w:rsidRDefault="00957241" w:rsidP="00957241">
      <w:pPr>
        <w:pBdr>
          <w:bottom w:val="single" w:sz="6" w:space="1" w:color="auto"/>
        </w:pBdr>
        <w:rPr>
          <w:lang w:val="cs-CZ"/>
        </w:rPr>
      </w:pPr>
      <w:r w:rsidRPr="000E0D50">
        <w:rPr>
          <w:lang w:val="cs-CZ" w:bidi="cs-CZ"/>
        </w:rPr>
        <w:t>ČLÁNEK</w:t>
      </w:r>
      <w:r>
        <w:rPr>
          <w:lang w:val="cs-CZ" w:bidi="cs-CZ"/>
        </w:rPr>
        <w:t xml:space="preserve"> 16 – ODPOVĚDNOST</w:t>
      </w:r>
    </w:p>
    <w:p w14:paraId="5D9E14EA" w14:textId="4FB1C4B9" w:rsidR="00957241" w:rsidRDefault="00957241" w:rsidP="00C3152B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16.1</w:t>
      </w:r>
      <w:r>
        <w:rPr>
          <w:lang w:val="cs-CZ"/>
        </w:rPr>
        <w:tab/>
      </w:r>
      <w:r w:rsidRPr="00957241">
        <w:rPr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6E20CCDB" w14:textId="61E5539A" w:rsidR="00957241" w:rsidRDefault="00957241" w:rsidP="00C3152B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16.2</w:t>
      </w:r>
      <w:r>
        <w:rPr>
          <w:lang w:val="cs-CZ"/>
        </w:rPr>
        <w:tab/>
      </w:r>
      <w:r w:rsidR="00121A8B" w:rsidRPr="00121A8B">
        <w:rPr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 důsledku </w:t>
      </w:r>
      <w:r w:rsidR="00121A8B" w:rsidRPr="00121A8B">
        <w:rPr>
          <w:lang w:val="cs-CZ"/>
        </w:rPr>
        <w:lastRenderedPageBreak/>
        <w:t>toho česká národní agentura nebo Evropská komise nevyhoví žádné žádosti o náhradu škody doprovázející tento vznesený nárok.</w:t>
      </w:r>
    </w:p>
    <w:p w14:paraId="6E8F2FC5" w14:textId="77777777" w:rsidR="00957241" w:rsidRPr="000E0D50" w:rsidRDefault="00957241" w:rsidP="00C3152B">
      <w:pPr>
        <w:tabs>
          <w:tab w:val="left" w:pos="567"/>
        </w:tabs>
        <w:ind w:left="567" w:hanging="567"/>
        <w:jc w:val="both"/>
        <w:rPr>
          <w:lang w:val="cs-CZ"/>
        </w:rPr>
      </w:pPr>
    </w:p>
    <w:bookmarkEnd w:id="4"/>
    <w:p w14:paraId="6B769835" w14:textId="575828AB" w:rsidR="00F96310" w:rsidRPr="000E0D50" w:rsidRDefault="2156E4C0" w:rsidP="2156E4C0">
      <w:pPr>
        <w:pBdr>
          <w:bottom w:val="single" w:sz="6" w:space="1" w:color="auto"/>
        </w:pBdr>
        <w:rPr>
          <w:lang w:val="cs-CZ" w:bidi="cs-CZ"/>
        </w:rPr>
      </w:pPr>
      <w:r w:rsidRPr="000E0D50">
        <w:rPr>
          <w:lang w:val="cs-CZ" w:bidi="cs-CZ"/>
        </w:rPr>
        <w:t>ČLÁNEK</w:t>
      </w:r>
      <w:r w:rsidR="00551E40">
        <w:rPr>
          <w:lang w:val="cs-CZ" w:bidi="cs-CZ"/>
        </w:rPr>
        <w:t xml:space="preserve"> </w:t>
      </w:r>
      <w:r w:rsidR="00B72149">
        <w:rPr>
          <w:lang w:val="cs-CZ" w:bidi="cs-CZ"/>
        </w:rPr>
        <w:t>1</w:t>
      </w:r>
      <w:r w:rsidR="00551E40">
        <w:rPr>
          <w:lang w:val="cs-CZ" w:bidi="cs-CZ"/>
        </w:rPr>
        <w:t>7</w:t>
      </w:r>
      <w:r w:rsidRPr="000E0D50">
        <w:rPr>
          <w:lang w:val="cs-CZ" w:bidi="cs-CZ"/>
        </w:rPr>
        <w:t xml:space="preserve"> – ROZHODNÉ PRÁVO A PŘÍSLUŠNÝ SOUD</w:t>
      </w:r>
    </w:p>
    <w:p w14:paraId="3FBA191F" w14:textId="2CE2D721" w:rsidR="00E870AD" w:rsidRPr="000E0D50" w:rsidRDefault="00B72149" w:rsidP="2156E4C0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 w:bidi="cs-CZ"/>
        </w:rPr>
        <w:t>1</w:t>
      </w:r>
      <w:r w:rsidR="00957241">
        <w:rPr>
          <w:lang w:val="cs-CZ" w:bidi="cs-CZ"/>
        </w:rPr>
        <w:t>7</w:t>
      </w:r>
      <w:r w:rsidR="004F0BB1" w:rsidRPr="000E0D50">
        <w:rPr>
          <w:lang w:val="cs-CZ" w:bidi="cs-CZ"/>
        </w:rPr>
        <w:t>.1</w:t>
      </w:r>
      <w:r w:rsidR="004F0BB1" w:rsidRPr="000E0D50">
        <w:rPr>
          <w:lang w:val="cs-CZ" w:bidi="cs-CZ"/>
        </w:rPr>
        <w:tab/>
        <w:t xml:space="preserve">Tato smlouva se řídí </w:t>
      </w:r>
      <w:r w:rsidR="00F57973">
        <w:rPr>
          <w:lang w:val="cs-CZ" w:bidi="cs-CZ"/>
        </w:rPr>
        <w:t>právním řádem České republiky.</w:t>
      </w:r>
    </w:p>
    <w:p w14:paraId="61629B71" w14:textId="321741A8" w:rsidR="00E870AD" w:rsidRPr="000E0D50" w:rsidRDefault="00B72149" w:rsidP="2156E4C0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 w:bidi="cs-CZ"/>
        </w:rPr>
        <w:t>1</w:t>
      </w:r>
      <w:r w:rsidR="00957241">
        <w:rPr>
          <w:lang w:val="cs-CZ" w:bidi="cs-CZ"/>
        </w:rPr>
        <w:t>7</w:t>
      </w:r>
      <w:r w:rsidR="004F0BB1" w:rsidRPr="000E0D50">
        <w:rPr>
          <w:lang w:val="cs-CZ" w:bidi="cs-CZ"/>
        </w:rPr>
        <w:t>.2</w:t>
      </w:r>
      <w:r w:rsidR="004F0BB1" w:rsidRPr="000E0D50">
        <w:rPr>
          <w:lang w:val="cs-CZ" w:bidi="cs-CZ"/>
        </w:rPr>
        <w:tab/>
      </w:r>
      <w:r w:rsidR="00F57973">
        <w:rPr>
          <w:lang w:val="cs-CZ"/>
        </w:rPr>
        <w:t xml:space="preserve">Příslušný </w:t>
      </w:r>
      <w:r w:rsidR="00F57973">
        <w:rPr>
          <w:rFonts w:cs="Arial"/>
          <w:lang w:val="cs-CZ"/>
        </w:rPr>
        <w:t xml:space="preserve">soud určený v souladu s příslušnými vnitrostátními právními předpisy je výlučně příslušný rozhodovat v jakýchkoli sporech mezi </w:t>
      </w:r>
      <w:r w:rsidR="00F57973">
        <w:rPr>
          <w:lang w:val="cs-CZ"/>
        </w:rPr>
        <w:t xml:space="preserve">institucí a účastníkem </w:t>
      </w:r>
      <w:r w:rsidR="00F57973">
        <w:rPr>
          <w:rFonts w:cs="Arial"/>
          <w:lang w:val="cs-CZ"/>
        </w:rPr>
        <w:t>ohledně výkladu, uplatňování nebo platnosti této smlouvy, pokud takový spor nelze vyřešit dohodou obou stran</w:t>
      </w:r>
      <w:r w:rsidR="00F57973">
        <w:rPr>
          <w:lang w:val="cs-CZ"/>
        </w:rPr>
        <w:t>.</w:t>
      </w:r>
    </w:p>
    <w:p w14:paraId="1EF22E72" w14:textId="56DCE9AF" w:rsidR="003D493D" w:rsidRDefault="003D493D">
      <w:pPr>
        <w:jc w:val="both"/>
        <w:rPr>
          <w:b/>
          <w:lang w:val="cs-CZ"/>
        </w:rPr>
      </w:pPr>
    </w:p>
    <w:p w14:paraId="6676393D" w14:textId="1B6C3053" w:rsidR="00BF7AB5" w:rsidRPr="007E12CB" w:rsidRDefault="00BF7AB5" w:rsidP="00BF7AB5">
      <w:pPr>
        <w:keepNext/>
        <w:pBdr>
          <w:bottom w:val="single" w:sz="6" w:space="1" w:color="auto"/>
        </w:pBdr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ČLÁNEK 1</w:t>
      </w:r>
      <w:r w:rsidR="00957241" w:rsidRPr="007E12CB">
        <w:rPr>
          <w:color w:val="000000" w:themeColor="text1"/>
          <w:lang w:val="cs-CZ"/>
        </w:rPr>
        <w:t>8</w:t>
      </w:r>
      <w:r w:rsidRPr="007E12CB">
        <w:rPr>
          <w:color w:val="000000" w:themeColor="text1"/>
          <w:lang w:val="cs-CZ"/>
        </w:rPr>
        <w:t xml:space="preserve"> – ZÁVĚREČNÁ USTANOVENÍ</w:t>
      </w:r>
    </w:p>
    <w:p w14:paraId="607ED337" w14:textId="66F9CC3A" w:rsidR="00BF7AB5" w:rsidRPr="007E12CB" w:rsidRDefault="00BF7AB5" w:rsidP="00BF7AB5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1</w:t>
      </w:r>
      <w:r w:rsidR="00957241" w:rsidRPr="007E12CB">
        <w:rPr>
          <w:color w:val="000000" w:themeColor="text1"/>
          <w:lang w:val="cs-CZ"/>
        </w:rPr>
        <w:t>8</w:t>
      </w:r>
      <w:r w:rsidRPr="007E12CB">
        <w:rPr>
          <w:color w:val="000000" w:themeColor="text1"/>
          <w:lang w:val="cs-CZ"/>
        </w:rPr>
        <w:t>.1</w:t>
      </w:r>
      <w:r w:rsidRPr="007E12CB">
        <w:rPr>
          <w:color w:val="000000" w:themeColor="text1"/>
          <w:lang w:val="cs-CZ"/>
        </w:rPr>
        <w:tab/>
        <w:t>Tato smlouva může být změněna pouze vzestupně číslovanými písemnými dodatky, podepsanými oběma smluvními stranami.</w:t>
      </w:r>
    </w:p>
    <w:p w14:paraId="7C79E10F" w14:textId="782884EC" w:rsidR="00BF7AB5" w:rsidRPr="007E12CB" w:rsidRDefault="00BF7AB5" w:rsidP="00BF7AB5">
      <w:pPr>
        <w:tabs>
          <w:tab w:val="left" w:pos="567"/>
        </w:tabs>
        <w:ind w:left="567" w:hanging="567"/>
        <w:jc w:val="both"/>
        <w:rPr>
          <w:color w:val="000000" w:themeColor="text1"/>
          <w:lang w:val="cs-CZ"/>
        </w:rPr>
      </w:pPr>
      <w:r w:rsidRPr="007E12CB">
        <w:rPr>
          <w:color w:val="000000" w:themeColor="text1"/>
          <w:lang w:val="cs-CZ"/>
        </w:rPr>
        <w:t>1</w:t>
      </w:r>
      <w:r w:rsidR="00957241" w:rsidRPr="007E12CB">
        <w:rPr>
          <w:color w:val="000000" w:themeColor="text1"/>
          <w:lang w:val="cs-CZ"/>
        </w:rPr>
        <w:t>8</w:t>
      </w:r>
      <w:r w:rsidRPr="007E12CB">
        <w:rPr>
          <w:color w:val="000000" w:themeColor="text1"/>
          <w:lang w:val="cs-CZ"/>
        </w:rPr>
        <w:t>.2</w:t>
      </w:r>
      <w:r w:rsidRPr="007E12CB">
        <w:rPr>
          <w:color w:val="000000" w:themeColor="text1"/>
          <w:lang w:val="cs-CZ"/>
        </w:rPr>
        <w:tab/>
        <w:t>Tato smlouva je vyhotovena ve dvou stejnopisech, přičemž každá ze smluvních stran obdrží po jednom. Obě smluvní strany si tuto smlouvu přečetly, rozumějí jejímu obsahu a na důkaz souhlasu připojují níže uvedeného dne své vlastnoruční podpisy.</w:t>
      </w:r>
    </w:p>
    <w:p w14:paraId="69F4292F" w14:textId="77777777" w:rsidR="00BF7AB5" w:rsidRPr="007E12CB" w:rsidRDefault="00BF7AB5">
      <w:pPr>
        <w:jc w:val="both"/>
        <w:rPr>
          <w:b/>
          <w:color w:val="000000" w:themeColor="text1"/>
          <w:lang w:val="cs-CZ"/>
        </w:rPr>
      </w:pPr>
    </w:p>
    <w:p w14:paraId="65240F52" w14:textId="19EF73FE" w:rsidR="00CD3772" w:rsidRPr="00A24664" w:rsidRDefault="2156E4C0" w:rsidP="00CD3772">
      <w:pPr>
        <w:ind w:left="5812" w:hanging="5812"/>
        <w:rPr>
          <w:lang w:val="cs-CZ"/>
        </w:rPr>
      </w:pPr>
      <w:r w:rsidRPr="000E0D50">
        <w:rPr>
          <w:lang w:val="cs-CZ" w:bidi="cs-CZ"/>
        </w:rPr>
        <w:t>PODPISY</w:t>
      </w:r>
    </w:p>
    <w:p w14:paraId="4D7323FB" w14:textId="77777777" w:rsidR="00780990" w:rsidRPr="00C6164D" w:rsidRDefault="00780990">
      <w:pPr>
        <w:ind w:left="5812" w:hanging="5812"/>
        <w:rPr>
          <w:lang w:val="cs-CZ"/>
        </w:rPr>
      </w:pPr>
    </w:p>
    <w:p w14:paraId="55382016" w14:textId="2B3DEA91" w:rsidR="00F96310" w:rsidRPr="000E0D50" w:rsidRDefault="00AF1A05" w:rsidP="2156E4C0">
      <w:pPr>
        <w:tabs>
          <w:tab w:val="left" w:pos="5670"/>
        </w:tabs>
        <w:rPr>
          <w:lang w:val="cs-CZ"/>
        </w:rPr>
      </w:pPr>
      <w:r>
        <w:rPr>
          <w:lang w:val="cs-CZ" w:bidi="cs-CZ"/>
        </w:rPr>
        <w:t>z</w:t>
      </w:r>
      <w:r w:rsidR="00F57973">
        <w:rPr>
          <w:lang w:val="cs-CZ" w:bidi="cs-CZ"/>
        </w:rPr>
        <w:t>a účastníka</w:t>
      </w:r>
      <w:r w:rsidR="00F96310" w:rsidRPr="000E0D50">
        <w:rPr>
          <w:lang w:val="cs-CZ" w:bidi="cs-CZ"/>
        </w:rPr>
        <w:tab/>
      </w:r>
      <w:r w:rsidR="00F57973">
        <w:rPr>
          <w:lang w:val="cs-CZ" w:bidi="cs-CZ"/>
        </w:rPr>
        <w:t xml:space="preserve">za </w:t>
      </w:r>
      <w:r w:rsidR="00991B6C">
        <w:rPr>
          <w:lang w:val="cs-CZ" w:bidi="cs-CZ"/>
        </w:rPr>
        <w:t>Univerzitu Hradec Králové</w:t>
      </w:r>
    </w:p>
    <w:p w14:paraId="0E75E21F" w14:textId="006181F4" w:rsidR="00FF5ED4" w:rsidRPr="007E12CB" w:rsidRDefault="00991B6C" w:rsidP="2156E4C0">
      <w:pPr>
        <w:tabs>
          <w:tab w:val="left" w:pos="5670"/>
        </w:tabs>
        <w:rPr>
          <w:lang w:val="cs-CZ" w:bidi="cs-CZ"/>
        </w:rPr>
      </w:pPr>
      <w:r w:rsidRPr="007E12CB">
        <w:rPr>
          <w:lang w:val="cs-CZ" w:bidi="cs-CZ"/>
        </w:rPr>
        <w:t>jméno/příjmení</w:t>
      </w:r>
      <w:r w:rsidR="00924D53" w:rsidRPr="007E12CB">
        <w:rPr>
          <w:lang w:val="cs-CZ" w:bidi="cs-CZ"/>
        </w:rPr>
        <w:tab/>
      </w:r>
      <w:r w:rsidR="007E12CB">
        <w:rPr>
          <w:lang w:val="cs-CZ" w:bidi="cs-CZ"/>
        </w:rPr>
        <w:t>Mgr. Janet Wolf, Ph.D. et Ph.D.</w:t>
      </w:r>
      <w:r w:rsidRPr="007E12CB">
        <w:rPr>
          <w:lang w:val="cs-CZ" w:bidi="cs-CZ"/>
        </w:rPr>
        <w:t xml:space="preserve"> </w:t>
      </w:r>
    </w:p>
    <w:p w14:paraId="68E86929" w14:textId="57E53850" w:rsidR="007E12CB" w:rsidRDefault="007E12CB" w:rsidP="007E12CB">
      <w:pPr>
        <w:tabs>
          <w:tab w:val="left" w:pos="5670"/>
        </w:tabs>
        <w:rPr>
          <w:lang w:val="cs-CZ" w:bidi="cs-CZ"/>
        </w:rPr>
      </w:pPr>
      <w:r>
        <w:rPr>
          <w:lang w:val="cs-CZ" w:bidi="cs-CZ"/>
        </w:rPr>
        <w:t xml:space="preserve">                                                                                                                 </w:t>
      </w:r>
      <w:r w:rsidR="00991B6C" w:rsidRPr="007E12CB">
        <w:rPr>
          <w:lang w:val="cs-CZ" w:bidi="cs-CZ"/>
        </w:rPr>
        <w:t>proděkan</w:t>
      </w:r>
      <w:r>
        <w:rPr>
          <w:lang w:val="cs-CZ" w:bidi="cs-CZ"/>
        </w:rPr>
        <w:t>ka</w:t>
      </w:r>
      <w:r w:rsidR="00991B6C" w:rsidRPr="007E12CB">
        <w:rPr>
          <w:lang w:val="cs-CZ" w:bidi="cs-CZ"/>
        </w:rPr>
        <w:t xml:space="preserve"> pro</w:t>
      </w:r>
      <w:r>
        <w:rPr>
          <w:lang w:val="cs-CZ" w:bidi="cs-CZ"/>
        </w:rPr>
        <w:t xml:space="preserve"> internacionalizaci a vnější vztahy</w:t>
      </w:r>
    </w:p>
    <w:p w14:paraId="0FAE314D" w14:textId="77777777" w:rsidR="007E12CB" w:rsidRDefault="007E12CB" w:rsidP="007E12CB">
      <w:pPr>
        <w:tabs>
          <w:tab w:val="left" w:pos="5670"/>
        </w:tabs>
        <w:rPr>
          <w:lang w:val="cs-CZ" w:bidi="cs-CZ"/>
        </w:rPr>
      </w:pPr>
    </w:p>
    <w:p w14:paraId="35BA8C01" w14:textId="5F876988" w:rsidR="00F96310" w:rsidRPr="007E12CB" w:rsidRDefault="00F96310" w:rsidP="007E12CB">
      <w:pPr>
        <w:tabs>
          <w:tab w:val="left" w:pos="5670"/>
        </w:tabs>
        <w:rPr>
          <w:lang w:val="cs-CZ"/>
        </w:rPr>
      </w:pPr>
      <w:r w:rsidRPr="007E12CB">
        <w:rPr>
          <w:lang w:val="cs-CZ" w:bidi="cs-CZ"/>
        </w:rPr>
        <w:t>podpis</w:t>
      </w:r>
      <w:r w:rsidRPr="007E12CB">
        <w:rPr>
          <w:lang w:val="cs-CZ" w:bidi="cs-CZ"/>
        </w:rPr>
        <w:tab/>
      </w:r>
      <w:proofErr w:type="spellStart"/>
      <w:r w:rsidRPr="007E12CB">
        <w:rPr>
          <w:lang w:val="cs-CZ" w:bidi="cs-CZ"/>
        </w:rPr>
        <w:t>podpis</w:t>
      </w:r>
      <w:proofErr w:type="spellEnd"/>
    </w:p>
    <w:p w14:paraId="5099D0F6" w14:textId="6F61FAD3" w:rsidR="00F96310" w:rsidRPr="007E12CB" w:rsidRDefault="00F96310">
      <w:pPr>
        <w:tabs>
          <w:tab w:val="left" w:pos="5670"/>
        </w:tabs>
        <w:rPr>
          <w:lang w:val="cs-CZ"/>
        </w:rPr>
      </w:pPr>
    </w:p>
    <w:p w14:paraId="1CE07594" w14:textId="77777777" w:rsidR="0099587D" w:rsidRPr="007E12CB" w:rsidRDefault="0099587D">
      <w:pPr>
        <w:tabs>
          <w:tab w:val="left" w:pos="5670"/>
        </w:tabs>
        <w:rPr>
          <w:lang w:val="cs-CZ"/>
        </w:rPr>
      </w:pPr>
    </w:p>
    <w:p w14:paraId="37F25BF6" w14:textId="4A8B9440" w:rsidR="00137EB2" w:rsidRPr="000E0D50" w:rsidRDefault="00F57973" w:rsidP="2156E4C0">
      <w:pPr>
        <w:tabs>
          <w:tab w:val="left" w:pos="5670"/>
        </w:tabs>
        <w:rPr>
          <w:lang w:val="cs-CZ"/>
        </w:rPr>
      </w:pPr>
      <w:r w:rsidRPr="007E12CB">
        <w:rPr>
          <w:lang w:val="cs-CZ" w:bidi="cs-CZ"/>
        </w:rPr>
        <w:t>V</w:t>
      </w:r>
      <w:r w:rsidR="00F96310" w:rsidRPr="007E12CB">
        <w:rPr>
          <w:lang w:val="cs-CZ" w:bidi="cs-CZ"/>
        </w:rPr>
        <w:t xml:space="preserve"> místo, datum</w:t>
      </w:r>
      <w:r w:rsidR="00F96310" w:rsidRPr="007E12CB">
        <w:rPr>
          <w:lang w:val="cs-CZ" w:bidi="cs-CZ"/>
        </w:rPr>
        <w:tab/>
      </w:r>
      <w:r w:rsidRPr="007E12CB">
        <w:rPr>
          <w:lang w:val="cs-CZ" w:bidi="cs-CZ"/>
        </w:rPr>
        <w:t>V</w:t>
      </w:r>
      <w:r w:rsidR="00991B6C" w:rsidRPr="007E12CB">
        <w:rPr>
          <w:lang w:val="cs-CZ" w:bidi="cs-CZ"/>
        </w:rPr>
        <w:t> Hradci Králové</w:t>
      </w:r>
      <w:r w:rsidR="00F96310" w:rsidRPr="007E12CB">
        <w:rPr>
          <w:lang w:val="cs-CZ" w:bidi="cs-CZ"/>
        </w:rPr>
        <w:t xml:space="preserve">, </w:t>
      </w:r>
      <w:r w:rsidR="00991B6C" w:rsidRPr="007E12CB">
        <w:rPr>
          <w:lang w:val="cs-CZ" w:bidi="cs-CZ"/>
        </w:rPr>
        <w:t>datum</w:t>
      </w:r>
    </w:p>
    <w:p w14:paraId="67BECA1A" w14:textId="77777777" w:rsidR="00137EB2" w:rsidRPr="000E0D50" w:rsidRDefault="003D493D">
      <w:pPr>
        <w:tabs>
          <w:tab w:val="left" w:pos="5670"/>
        </w:tabs>
        <w:rPr>
          <w:sz w:val="16"/>
          <w:szCs w:val="16"/>
          <w:lang w:val="cs-CZ"/>
        </w:rPr>
      </w:pPr>
      <w:r w:rsidRPr="000E0D50">
        <w:rPr>
          <w:sz w:val="16"/>
          <w:szCs w:val="16"/>
          <w:lang w:val="cs-CZ" w:bidi="cs-CZ"/>
        </w:rPr>
        <w:br w:type="page"/>
      </w:r>
    </w:p>
    <w:p w14:paraId="1D5C2A34" w14:textId="77777777" w:rsidR="00137EB2" w:rsidRPr="000E0D50" w:rsidRDefault="2156E4C0" w:rsidP="00F03169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  <w:r w:rsidRPr="000E0D50">
        <w:rPr>
          <w:b/>
          <w:sz w:val="24"/>
          <w:szCs w:val="24"/>
          <w:lang w:val="cs-CZ" w:bidi="cs-CZ"/>
        </w:rPr>
        <w:lastRenderedPageBreak/>
        <w:t>Příloha I</w:t>
      </w:r>
    </w:p>
    <w:p w14:paraId="73CBCFCC" w14:textId="77777777" w:rsidR="00447E29" w:rsidRPr="000E0D50" w:rsidRDefault="00447E29" w:rsidP="00F03169">
      <w:pPr>
        <w:tabs>
          <w:tab w:val="left" w:pos="1701"/>
        </w:tabs>
        <w:jc w:val="center"/>
        <w:rPr>
          <w:sz w:val="24"/>
          <w:szCs w:val="24"/>
          <w:lang w:val="cs-CZ"/>
        </w:rPr>
      </w:pPr>
    </w:p>
    <w:p w14:paraId="3EF6CE70" w14:textId="31D81C7A" w:rsidR="00B665D7" w:rsidRDefault="00B665D7" w:rsidP="00CD3772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  <w:r w:rsidRPr="007E12CB">
        <w:rPr>
          <w:b/>
          <w:bCs/>
          <w:sz w:val="24"/>
          <w:szCs w:val="24"/>
          <w:lang w:val="cs-CZ"/>
        </w:rPr>
        <w:t>Program mobility zaměstnanců na výukový pobyt v rámci programu Erasmus+</w:t>
      </w:r>
      <w:r w:rsidR="00CD3772" w:rsidRPr="007E12CB">
        <w:rPr>
          <w:b/>
          <w:bCs/>
          <w:sz w:val="24"/>
          <w:szCs w:val="24"/>
          <w:lang w:val="cs-CZ"/>
        </w:rPr>
        <w:t xml:space="preserve"> (Mobility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Agreement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for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Teaching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>)</w:t>
      </w:r>
    </w:p>
    <w:p w14:paraId="4AC95474" w14:textId="77777777" w:rsidR="007E12CB" w:rsidRPr="007E12CB" w:rsidRDefault="007E12CB" w:rsidP="00CD3772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</w:p>
    <w:p w14:paraId="08EB5F59" w14:textId="5A060F15" w:rsidR="007E12CB" w:rsidRDefault="001B5C9D" w:rsidP="00CD3772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n</w:t>
      </w:r>
      <w:r w:rsidR="007E12CB" w:rsidRPr="007E12CB">
        <w:rPr>
          <w:b/>
          <w:bCs/>
          <w:sz w:val="24"/>
          <w:szCs w:val="24"/>
          <w:lang w:val="cs-CZ"/>
        </w:rPr>
        <w:t>ebo</w:t>
      </w:r>
    </w:p>
    <w:p w14:paraId="7948EEE1" w14:textId="77777777" w:rsidR="007E12CB" w:rsidRPr="007E12CB" w:rsidRDefault="007E12CB" w:rsidP="00CD3772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</w:p>
    <w:p w14:paraId="35EF212A" w14:textId="398B612E" w:rsidR="007E12CB" w:rsidRDefault="00B665D7" w:rsidP="009D52BE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  <w:r w:rsidRPr="007E12CB">
        <w:rPr>
          <w:b/>
          <w:bCs/>
          <w:sz w:val="24"/>
          <w:szCs w:val="24"/>
          <w:lang w:val="cs-CZ"/>
        </w:rPr>
        <w:t>Program mobility zaměstnanců na školení v rámci programu Erasmus+</w:t>
      </w:r>
      <w:r w:rsidR="00CD3772" w:rsidRPr="007E12CB">
        <w:rPr>
          <w:b/>
          <w:bCs/>
          <w:sz w:val="24"/>
          <w:szCs w:val="24"/>
          <w:lang w:val="cs-CZ"/>
        </w:rPr>
        <w:t xml:space="preserve"> (Mobility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Agreement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for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Training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>)</w:t>
      </w:r>
    </w:p>
    <w:p w14:paraId="331BE718" w14:textId="77777777" w:rsidR="007E12CB" w:rsidRPr="007E12CB" w:rsidRDefault="007E12CB" w:rsidP="009D52BE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</w:p>
    <w:p w14:paraId="76989556" w14:textId="293E3006" w:rsidR="007E12CB" w:rsidRDefault="001B5C9D" w:rsidP="009D52BE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n</w:t>
      </w:r>
      <w:r w:rsidR="007E12CB" w:rsidRPr="007E12CB">
        <w:rPr>
          <w:b/>
          <w:bCs/>
          <w:sz w:val="24"/>
          <w:szCs w:val="24"/>
          <w:lang w:val="cs-CZ"/>
        </w:rPr>
        <w:t>ebo</w:t>
      </w:r>
    </w:p>
    <w:p w14:paraId="75A03B6D" w14:textId="77777777" w:rsidR="007E12CB" w:rsidRPr="007E12CB" w:rsidRDefault="007E12CB" w:rsidP="009D52BE">
      <w:pPr>
        <w:tabs>
          <w:tab w:val="left" w:pos="1701"/>
        </w:tabs>
        <w:jc w:val="center"/>
        <w:rPr>
          <w:b/>
          <w:bCs/>
          <w:sz w:val="24"/>
          <w:szCs w:val="24"/>
          <w:lang w:val="cs-CZ"/>
        </w:rPr>
      </w:pPr>
    </w:p>
    <w:p w14:paraId="1AAB07C9" w14:textId="0250F376" w:rsidR="00B665D7" w:rsidRPr="000E0D50" w:rsidRDefault="00B665D7" w:rsidP="009D52BE">
      <w:pPr>
        <w:tabs>
          <w:tab w:val="left" w:pos="1701"/>
        </w:tabs>
        <w:jc w:val="center"/>
        <w:rPr>
          <w:sz w:val="16"/>
          <w:szCs w:val="16"/>
          <w:lang w:val="cs-CZ"/>
        </w:rPr>
      </w:pPr>
      <w:r w:rsidRPr="007E12CB">
        <w:rPr>
          <w:b/>
          <w:bCs/>
          <w:sz w:val="24"/>
          <w:szCs w:val="24"/>
          <w:lang w:val="cs-CZ"/>
        </w:rPr>
        <w:t>Program mobility zaměstnanců na výukový pobyt a školení v rámci programu Erasmus+</w:t>
      </w:r>
      <w:r w:rsidR="00CD3772" w:rsidRPr="007E12CB">
        <w:rPr>
          <w:b/>
          <w:bCs/>
          <w:sz w:val="24"/>
          <w:szCs w:val="24"/>
          <w:lang w:val="cs-CZ"/>
        </w:rPr>
        <w:t xml:space="preserve"> (Mobility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Agreement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for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Teaching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 xml:space="preserve"> and </w:t>
      </w:r>
      <w:proofErr w:type="spellStart"/>
      <w:r w:rsidR="00CD3772" w:rsidRPr="007E12CB">
        <w:rPr>
          <w:b/>
          <w:bCs/>
          <w:sz w:val="24"/>
          <w:szCs w:val="24"/>
          <w:lang w:val="cs-CZ"/>
        </w:rPr>
        <w:t>Training</w:t>
      </w:r>
      <w:proofErr w:type="spellEnd"/>
      <w:r w:rsidR="00CD3772" w:rsidRPr="007E12CB">
        <w:rPr>
          <w:b/>
          <w:bCs/>
          <w:sz w:val="24"/>
          <w:szCs w:val="24"/>
          <w:lang w:val="cs-CZ"/>
        </w:rPr>
        <w:t>)</w:t>
      </w:r>
    </w:p>
    <w:sectPr w:rsidR="00B665D7" w:rsidRPr="000E0D50" w:rsidSect="00121A8B">
      <w:headerReference w:type="default" r:id="rId16"/>
      <w:footerReference w:type="default" r:id="rId17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64C94" w14:textId="77777777" w:rsidR="0049643E" w:rsidRDefault="0049643E">
      <w:r>
        <w:separator/>
      </w:r>
    </w:p>
  </w:endnote>
  <w:endnote w:type="continuationSeparator" w:id="0">
    <w:p w14:paraId="71D704BB" w14:textId="77777777" w:rsidR="0049643E" w:rsidRDefault="0049643E">
      <w:r>
        <w:continuationSeparator/>
      </w:r>
    </w:p>
  </w:endnote>
  <w:endnote w:type="continuationNotice" w:id="1">
    <w:p w14:paraId="2BC8C0B5" w14:textId="77777777" w:rsidR="0049643E" w:rsidRDefault="00496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A03C" w14:textId="63F0846E" w:rsidR="008C135A" w:rsidRDefault="008C135A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  <w:lang w:val="cs-CZ" w:bidi="cs-CZ"/>
      </w:rPr>
      <w:fldChar w:fldCharType="begin"/>
    </w:r>
    <w:r>
      <w:rPr>
        <w:rStyle w:val="slostrnky"/>
        <w:lang w:val="cs-CZ" w:bidi="cs-CZ"/>
      </w:rPr>
      <w:instrText xml:space="preserve">PAGE  </w:instrText>
    </w:r>
    <w:r>
      <w:rPr>
        <w:rStyle w:val="slostrnky"/>
        <w:lang w:val="cs-CZ" w:bidi="cs-CZ"/>
      </w:rPr>
      <w:fldChar w:fldCharType="separate"/>
    </w:r>
    <w:r>
      <w:rPr>
        <w:rStyle w:val="slostrnky"/>
        <w:noProof/>
        <w:lang w:val="cs-CZ" w:bidi="cs-CZ"/>
      </w:rPr>
      <w:t>6</w:t>
    </w:r>
    <w:r>
      <w:rPr>
        <w:rStyle w:val="slostrnky"/>
        <w:lang w:val="cs-CZ" w:bidi="cs-CZ"/>
      </w:rPr>
      <w:fldChar w:fldCharType="end"/>
    </w:r>
  </w:p>
  <w:p w14:paraId="1EE7E6C8" w14:textId="77777777" w:rsidR="008C135A" w:rsidRDefault="008C135A">
    <w:pPr>
      <w:pStyle w:val="Zpat"/>
      <w:ind w:right="360"/>
    </w:pPr>
    <w:r>
      <w:rPr>
        <w:lang w:val="cs-CZ" w:bidi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E3BBB" w14:textId="77777777" w:rsidR="0049643E" w:rsidRDefault="0049643E">
      <w:r>
        <w:separator/>
      </w:r>
    </w:p>
  </w:footnote>
  <w:footnote w:type="continuationSeparator" w:id="0">
    <w:p w14:paraId="4B324B03" w14:textId="77777777" w:rsidR="0049643E" w:rsidRDefault="0049643E">
      <w:r>
        <w:continuationSeparator/>
      </w:r>
    </w:p>
  </w:footnote>
  <w:footnote w:type="continuationNotice" w:id="1">
    <w:p w14:paraId="0C1CF920" w14:textId="77777777" w:rsidR="0049643E" w:rsidRDefault="00496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5737" w14:textId="77777777" w:rsidR="008C135A" w:rsidRPr="00FE149C" w:rsidRDefault="008C135A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A00F93"/>
    <w:multiLevelType w:val="hybridMultilevel"/>
    <w:tmpl w:val="AD24F246"/>
    <w:lvl w:ilvl="0" w:tplc="290400B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85050"/>
    <w:multiLevelType w:val="multilevel"/>
    <w:tmpl w:val="AE7A2B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1EB1BBC"/>
    <w:multiLevelType w:val="hybridMultilevel"/>
    <w:tmpl w:val="CB0E65F2"/>
    <w:lvl w:ilvl="0" w:tplc="E160A7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ČLÁNEK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56C7"/>
    <w:multiLevelType w:val="hybridMultilevel"/>
    <w:tmpl w:val="CB5C10F0"/>
    <w:lvl w:ilvl="0" w:tplc="7AC66B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476C4"/>
    <w:multiLevelType w:val="hybridMultilevel"/>
    <w:tmpl w:val="BA724F9E"/>
    <w:lvl w:ilvl="0" w:tplc="7AC66B2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FE6772"/>
    <w:multiLevelType w:val="multilevel"/>
    <w:tmpl w:val="763E89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E3ADF"/>
    <w:multiLevelType w:val="hybridMultilevel"/>
    <w:tmpl w:val="9698F520"/>
    <w:lvl w:ilvl="0" w:tplc="AA10AC3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97A475D"/>
    <w:multiLevelType w:val="hybridMultilevel"/>
    <w:tmpl w:val="2D6E36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F3057"/>
    <w:multiLevelType w:val="multilevel"/>
    <w:tmpl w:val="6FDCA8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44C51"/>
    <w:multiLevelType w:val="hybridMultilevel"/>
    <w:tmpl w:val="6124119E"/>
    <w:lvl w:ilvl="0" w:tplc="70B4368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5"/>
  </w:num>
  <w:num w:numId="12">
    <w:abstractNumId w:val="12"/>
  </w:num>
  <w:num w:numId="13">
    <w:abstractNumId w:val="11"/>
  </w:num>
  <w:num w:numId="14">
    <w:abstractNumId w:val="16"/>
  </w:num>
  <w:num w:numId="15">
    <w:abstractNumId w:val="13"/>
  </w:num>
  <w:num w:numId="16">
    <w:abstractNumId w:val="17"/>
  </w:num>
  <w:num w:numId="17">
    <w:abstractNumId w:val="7"/>
  </w:num>
  <w:num w:numId="18">
    <w:abstractNumId w:val="2"/>
  </w:num>
  <w:num w:numId="19">
    <w:abstractNumId w:val="19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DF6"/>
    <w:rsid w:val="00000F8E"/>
    <w:rsid w:val="0000183E"/>
    <w:rsid w:val="00003A0D"/>
    <w:rsid w:val="00007260"/>
    <w:rsid w:val="00010742"/>
    <w:rsid w:val="000121C3"/>
    <w:rsid w:val="00012759"/>
    <w:rsid w:val="00013C7E"/>
    <w:rsid w:val="00014655"/>
    <w:rsid w:val="00014C36"/>
    <w:rsid w:val="00015601"/>
    <w:rsid w:val="00015735"/>
    <w:rsid w:val="00015C79"/>
    <w:rsid w:val="00015E32"/>
    <w:rsid w:val="0002091C"/>
    <w:rsid w:val="00021480"/>
    <w:rsid w:val="000233E4"/>
    <w:rsid w:val="000233EB"/>
    <w:rsid w:val="00023F60"/>
    <w:rsid w:val="000247F6"/>
    <w:rsid w:val="00026A5D"/>
    <w:rsid w:val="000304C0"/>
    <w:rsid w:val="00031543"/>
    <w:rsid w:val="000318CE"/>
    <w:rsid w:val="00032894"/>
    <w:rsid w:val="00032AF6"/>
    <w:rsid w:val="00033FE6"/>
    <w:rsid w:val="00034074"/>
    <w:rsid w:val="0003418B"/>
    <w:rsid w:val="00034E68"/>
    <w:rsid w:val="00034F7C"/>
    <w:rsid w:val="0003734F"/>
    <w:rsid w:val="0004057B"/>
    <w:rsid w:val="00040EC0"/>
    <w:rsid w:val="0004496A"/>
    <w:rsid w:val="00045C16"/>
    <w:rsid w:val="00046457"/>
    <w:rsid w:val="00047CBC"/>
    <w:rsid w:val="00050E3D"/>
    <w:rsid w:val="00051758"/>
    <w:rsid w:val="000546A4"/>
    <w:rsid w:val="000565D0"/>
    <w:rsid w:val="00065470"/>
    <w:rsid w:val="0006734A"/>
    <w:rsid w:val="000679EC"/>
    <w:rsid w:val="00067DF7"/>
    <w:rsid w:val="00073B41"/>
    <w:rsid w:val="00075AB9"/>
    <w:rsid w:val="000771D1"/>
    <w:rsid w:val="0008093F"/>
    <w:rsid w:val="00081295"/>
    <w:rsid w:val="00081B25"/>
    <w:rsid w:val="00081D99"/>
    <w:rsid w:val="0008285D"/>
    <w:rsid w:val="0008321F"/>
    <w:rsid w:val="00083486"/>
    <w:rsid w:val="00083A1B"/>
    <w:rsid w:val="00083C72"/>
    <w:rsid w:val="00083D18"/>
    <w:rsid w:val="0008474A"/>
    <w:rsid w:val="0008622F"/>
    <w:rsid w:val="00086F0D"/>
    <w:rsid w:val="00087264"/>
    <w:rsid w:val="000912BD"/>
    <w:rsid w:val="00092605"/>
    <w:rsid w:val="00092A07"/>
    <w:rsid w:val="000A2944"/>
    <w:rsid w:val="000A47CE"/>
    <w:rsid w:val="000A53F2"/>
    <w:rsid w:val="000A5B05"/>
    <w:rsid w:val="000A633B"/>
    <w:rsid w:val="000A7007"/>
    <w:rsid w:val="000A7CB2"/>
    <w:rsid w:val="000B030C"/>
    <w:rsid w:val="000B3D42"/>
    <w:rsid w:val="000B3DE2"/>
    <w:rsid w:val="000B48FE"/>
    <w:rsid w:val="000C03AA"/>
    <w:rsid w:val="000C1493"/>
    <w:rsid w:val="000C2287"/>
    <w:rsid w:val="000C27B5"/>
    <w:rsid w:val="000C27BD"/>
    <w:rsid w:val="000C3B60"/>
    <w:rsid w:val="000C403C"/>
    <w:rsid w:val="000C50C7"/>
    <w:rsid w:val="000C54E5"/>
    <w:rsid w:val="000C5FD8"/>
    <w:rsid w:val="000C6290"/>
    <w:rsid w:val="000C7D70"/>
    <w:rsid w:val="000D0236"/>
    <w:rsid w:val="000D089A"/>
    <w:rsid w:val="000D107E"/>
    <w:rsid w:val="000D148A"/>
    <w:rsid w:val="000D2182"/>
    <w:rsid w:val="000D29E4"/>
    <w:rsid w:val="000D4153"/>
    <w:rsid w:val="000D4B05"/>
    <w:rsid w:val="000D4B4A"/>
    <w:rsid w:val="000D5AEA"/>
    <w:rsid w:val="000D6CCA"/>
    <w:rsid w:val="000D75D1"/>
    <w:rsid w:val="000E0695"/>
    <w:rsid w:val="000E0D50"/>
    <w:rsid w:val="000E29CC"/>
    <w:rsid w:val="000E348E"/>
    <w:rsid w:val="000E3574"/>
    <w:rsid w:val="000E4C4F"/>
    <w:rsid w:val="000E502A"/>
    <w:rsid w:val="000E7625"/>
    <w:rsid w:val="00100991"/>
    <w:rsid w:val="001011E6"/>
    <w:rsid w:val="001015CE"/>
    <w:rsid w:val="00104C64"/>
    <w:rsid w:val="00105BE9"/>
    <w:rsid w:val="00105F02"/>
    <w:rsid w:val="0010615D"/>
    <w:rsid w:val="00107319"/>
    <w:rsid w:val="00107612"/>
    <w:rsid w:val="00107AA7"/>
    <w:rsid w:val="00112072"/>
    <w:rsid w:val="00112729"/>
    <w:rsid w:val="00113031"/>
    <w:rsid w:val="001146B7"/>
    <w:rsid w:val="00114C5C"/>
    <w:rsid w:val="001173AD"/>
    <w:rsid w:val="00117A3E"/>
    <w:rsid w:val="001203A0"/>
    <w:rsid w:val="00121A8B"/>
    <w:rsid w:val="001236F2"/>
    <w:rsid w:val="00123CAA"/>
    <w:rsid w:val="00123F5B"/>
    <w:rsid w:val="00125B87"/>
    <w:rsid w:val="00126666"/>
    <w:rsid w:val="00127D9B"/>
    <w:rsid w:val="0013064B"/>
    <w:rsid w:val="00130846"/>
    <w:rsid w:val="00136B3A"/>
    <w:rsid w:val="00137EB2"/>
    <w:rsid w:val="001412B6"/>
    <w:rsid w:val="00143E61"/>
    <w:rsid w:val="00147BE0"/>
    <w:rsid w:val="00150CBA"/>
    <w:rsid w:val="00151ADF"/>
    <w:rsid w:val="00153C54"/>
    <w:rsid w:val="00153D72"/>
    <w:rsid w:val="00155532"/>
    <w:rsid w:val="00157ACA"/>
    <w:rsid w:val="00162B2C"/>
    <w:rsid w:val="00164A3F"/>
    <w:rsid w:val="00164F62"/>
    <w:rsid w:val="001651E3"/>
    <w:rsid w:val="00165EEA"/>
    <w:rsid w:val="001708EB"/>
    <w:rsid w:val="00171ECD"/>
    <w:rsid w:val="00173F1A"/>
    <w:rsid w:val="001761F5"/>
    <w:rsid w:val="001776D8"/>
    <w:rsid w:val="00180C91"/>
    <w:rsid w:val="0018312A"/>
    <w:rsid w:val="00183642"/>
    <w:rsid w:val="001862CE"/>
    <w:rsid w:val="00190898"/>
    <w:rsid w:val="00191C6F"/>
    <w:rsid w:val="001936BE"/>
    <w:rsid w:val="00193E9E"/>
    <w:rsid w:val="001941B7"/>
    <w:rsid w:val="0019426C"/>
    <w:rsid w:val="00195F7E"/>
    <w:rsid w:val="00196285"/>
    <w:rsid w:val="00196BB9"/>
    <w:rsid w:val="001A019B"/>
    <w:rsid w:val="001A085C"/>
    <w:rsid w:val="001A0A9E"/>
    <w:rsid w:val="001A0C20"/>
    <w:rsid w:val="001A28A8"/>
    <w:rsid w:val="001A3082"/>
    <w:rsid w:val="001A34D2"/>
    <w:rsid w:val="001A6282"/>
    <w:rsid w:val="001A7791"/>
    <w:rsid w:val="001A7A8A"/>
    <w:rsid w:val="001B0D5D"/>
    <w:rsid w:val="001B1BEF"/>
    <w:rsid w:val="001B253D"/>
    <w:rsid w:val="001B2A38"/>
    <w:rsid w:val="001B36F1"/>
    <w:rsid w:val="001B4D1C"/>
    <w:rsid w:val="001B5C9D"/>
    <w:rsid w:val="001C03FA"/>
    <w:rsid w:val="001C10CB"/>
    <w:rsid w:val="001C22C7"/>
    <w:rsid w:val="001C23A9"/>
    <w:rsid w:val="001C359A"/>
    <w:rsid w:val="001C4936"/>
    <w:rsid w:val="001C5003"/>
    <w:rsid w:val="001C50DB"/>
    <w:rsid w:val="001C5646"/>
    <w:rsid w:val="001C5BA4"/>
    <w:rsid w:val="001C7D24"/>
    <w:rsid w:val="001C7E37"/>
    <w:rsid w:val="001D04EE"/>
    <w:rsid w:val="001D2957"/>
    <w:rsid w:val="001D319C"/>
    <w:rsid w:val="001D3A66"/>
    <w:rsid w:val="001D3D5A"/>
    <w:rsid w:val="001D5040"/>
    <w:rsid w:val="001D5160"/>
    <w:rsid w:val="001D558D"/>
    <w:rsid w:val="001D64D7"/>
    <w:rsid w:val="001E1465"/>
    <w:rsid w:val="001E21D0"/>
    <w:rsid w:val="001E2CFE"/>
    <w:rsid w:val="001E2F88"/>
    <w:rsid w:val="001E401D"/>
    <w:rsid w:val="001E44FB"/>
    <w:rsid w:val="001E7774"/>
    <w:rsid w:val="001E7D9A"/>
    <w:rsid w:val="001F0773"/>
    <w:rsid w:val="001F2C4A"/>
    <w:rsid w:val="001F47B9"/>
    <w:rsid w:val="001F4922"/>
    <w:rsid w:val="001F4AFF"/>
    <w:rsid w:val="001F4F03"/>
    <w:rsid w:val="001F6C66"/>
    <w:rsid w:val="0020039C"/>
    <w:rsid w:val="00200FD7"/>
    <w:rsid w:val="00202FF4"/>
    <w:rsid w:val="00203C58"/>
    <w:rsid w:val="00204E80"/>
    <w:rsid w:val="00205935"/>
    <w:rsid w:val="002070E2"/>
    <w:rsid w:val="00207117"/>
    <w:rsid w:val="002073C4"/>
    <w:rsid w:val="0021125A"/>
    <w:rsid w:val="002116FF"/>
    <w:rsid w:val="00212390"/>
    <w:rsid w:val="002125B3"/>
    <w:rsid w:val="00213DE4"/>
    <w:rsid w:val="0021713C"/>
    <w:rsid w:val="00217D88"/>
    <w:rsid w:val="00222A10"/>
    <w:rsid w:val="00222CDC"/>
    <w:rsid w:val="00224331"/>
    <w:rsid w:val="00225748"/>
    <w:rsid w:val="00225815"/>
    <w:rsid w:val="00226F2D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4DB"/>
    <w:rsid w:val="0023790E"/>
    <w:rsid w:val="00240F5F"/>
    <w:rsid w:val="002467E1"/>
    <w:rsid w:val="00246E6D"/>
    <w:rsid w:val="00251990"/>
    <w:rsid w:val="00254A5F"/>
    <w:rsid w:val="002552AC"/>
    <w:rsid w:val="00255AA0"/>
    <w:rsid w:val="002570DE"/>
    <w:rsid w:val="002576A4"/>
    <w:rsid w:val="002618A8"/>
    <w:rsid w:val="00261A74"/>
    <w:rsid w:val="0026242A"/>
    <w:rsid w:val="00263097"/>
    <w:rsid w:val="00265EFF"/>
    <w:rsid w:val="00266434"/>
    <w:rsid w:val="002714DF"/>
    <w:rsid w:val="0027249D"/>
    <w:rsid w:val="002730FC"/>
    <w:rsid w:val="00273228"/>
    <w:rsid w:val="00274695"/>
    <w:rsid w:val="0027564B"/>
    <w:rsid w:val="0027675B"/>
    <w:rsid w:val="00277A7D"/>
    <w:rsid w:val="00277EB9"/>
    <w:rsid w:val="002801B5"/>
    <w:rsid w:val="0028081B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3B09"/>
    <w:rsid w:val="00296A2C"/>
    <w:rsid w:val="002973A4"/>
    <w:rsid w:val="00297A8D"/>
    <w:rsid w:val="002A022F"/>
    <w:rsid w:val="002A225C"/>
    <w:rsid w:val="002A586A"/>
    <w:rsid w:val="002A62A1"/>
    <w:rsid w:val="002B06E5"/>
    <w:rsid w:val="002B1D31"/>
    <w:rsid w:val="002B2378"/>
    <w:rsid w:val="002B2D4B"/>
    <w:rsid w:val="002B3478"/>
    <w:rsid w:val="002B3B6D"/>
    <w:rsid w:val="002B4850"/>
    <w:rsid w:val="002B4AFF"/>
    <w:rsid w:val="002B5140"/>
    <w:rsid w:val="002B64DD"/>
    <w:rsid w:val="002C24E2"/>
    <w:rsid w:val="002C2C88"/>
    <w:rsid w:val="002C4462"/>
    <w:rsid w:val="002C4E1A"/>
    <w:rsid w:val="002C5586"/>
    <w:rsid w:val="002C6C96"/>
    <w:rsid w:val="002D5399"/>
    <w:rsid w:val="002D5FD9"/>
    <w:rsid w:val="002D7C27"/>
    <w:rsid w:val="002E0120"/>
    <w:rsid w:val="002E07E6"/>
    <w:rsid w:val="002E1FD7"/>
    <w:rsid w:val="002E24F7"/>
    <w:rsid w:val="002F0937"/>
    <w:rsid w:val="002F2CC5"/>
    <w:rsid w:val="002F3579"/>
    <w:rsid w:val="002F64D2"/>
    <w:rsid w:val="002F652C"/>
    <w:rsid w:val="003034A6"/>
    <w:rsid w:val="00305401"/>
    <w:rsid w:val="00305545"/>
    <w:rsid w:val="00306A91"/>
    <w:rsid w:val="00306EAD"/>
    <w:rsid w:val="00310BB1"/>
    <w:rsid w:val="003111BF"/>
    <w:rsid w:val="00312DBD"/>
    <w:rsid w:val="00313690"/>
    <w:rsid w:val="00313A00"/>
    <w:rsid w:val="00313A99"/>
    <w:rsid w:val="003149AE"/>
    <w:rsid w:val="00314AAF"/>
    <w:rsid w:val="00315435"/>
    <w:rsid w:val="00317C7C"/>
    <w:rsid w:val="003207E7"/>
    <w:rsid w:val="00321488"/>
    <w:rsid w:val="00321530"/>
    <w:rsid w:val="00322E1A"/>
    <w:rsid w:val="00326C2B"/>
    <w:rsid w:val="00327163"/>
    <w:rsid w:val="00327246"/>
    <w:rsid w:val="00327ACC"/>
    <w:rsid w:val="00327F13"/>
    <w:rsid w:val="00330119"/>
    <w:rsid w:val="00330907"/>
    <w:rsid w:val="003339D9"/>
    <w:rsid w:val="00334F51"/>
    <w:rsid w:val="00336D96"/>
    <w:rsid w:val="00341429"/>
    <w:rsid w:val="003415BB"/>
    <w:rsid w:val="00341A4A"/>
    <w:rsid w:val="0034307B"/>
    <w:rsid w:val="00343276"/>
    <w:rsid w:val="003433E7"/>
    <w:rsid w:val="00345899"/>
    <w:rsid w:val="003469F5"/>
    <w:rsid w:val="00346B59"/>
    <w:rsid w:val="00346DB9"/>
    <w:rsid w:val="00350D29"/>
    <w:rsid w:val="00352043"/>
    <w:rsid w:val="0035337C"/>
    <w:rsid w:val="00353ED3"/>
    <w:rsid w:val="0035428E"/>
    <w:rsid w:val="00354C9C"/>
    <w:rsid w:val="00355028"/>
    <w:rsid w:val="0035677D"/>
    <w:rsid w:val="003570B2"/>
    <w:rsid w:val="00357B7E"/>
    <w:rsid w:val="00360235"/>
    <w:rsid w:val="00360E25"/>
    <w:rsid w:val="00361045"/>
    <w:rsid w:val="00361983"/>
    <w:rsid w:val="00362A6C"/>
    <w:rsid w:val="00365CAA"/>
    <w:rsid w:val="003664C7"/>
    <w:rsid w:val="00366B39"/>
    <w:rsid w:val="00366E7B"/>
    <w:rsid w:val="00367624"/>
    <w:rsid w:val="003707EE"/>
    <w:rsid w:val="00371629"/>
    <w:rsid w:val="0037251E"/>
    <w:rsid w:val="00373085"/>
    <w:rsid w:val="00374255"/>
    <w:rsid w:val="00374A6E"/>
    <w:rsid w:val="003801D9"/>
    <w:rsid w:val="00380238"/>
    <w:rsid w:val="0038107B"/>
    <w:rsid w:val="0038191B"/>
    <w:rsid w:val="00381B58"/>
    <w:rsid w:val="003834FE"/>
    <w:rsid w:val="00383559"/>
    <w:rsid w:val="003847E7"/>
    <w:rsid w:val="0038760F"/>
    <w:rsid w:val="00387C4F"/>
    <w:rsid w:val="00390228"/>
    <w:rsid w:val="0039072C"/>
    <w:rsid w:val="00391A62"/>
    <w:rsid w:val="00392103"/>
    <w:rsid w:val="00393CE4"/>
    <w:rsid w:val="00395156"/>
    <w:rsid w:val="00395A32"/>
    <w:rsid w:val="0039683B"/>
    <w:rsid w:val="003A07D2"/>
    <w:rsid w:val="003A10BD"/>
    <w:rsid w:val="003A12F7"/>
    <w:rsid w:val="003A17AC"/>
    <w:rsid w:val="003A37E9"/>
    <w:rsid w:val="003A428E"/>
    <w:rsid w:val="003A4E11"/>
    <w:rsid w:val="003A688A"/>
    <w:rsid w:val="003A6DDC"/>
    <w:rsid w:val="003B249D"/>
    <w:rsid w:val="003B2A22"/>
    <w:rsid w:val="003B6020"/>
    <w:rsid w:val="003C128E"/>
    <w:rsid w:val="003C5395"/>
    <w:rsid w:val="003C54B3"/>
    <w:rsid w:val="003C5A5D"/>
    <w:rsid w:val="003C6805"/>
    <w:rsid w:val="003C7345"/>
    <w:rsid w:val="003C7DEE"/>
    <w:rsid w:val="003C7EA5"/>
    <w:rsid w:val="003D09A8"/>
    <w:rsid w:val="003D0C75"/>
    <w:rsid w:val="003D1619"/>
    <w:rsid w:val="003D1CE5"/>
    <w:rsid w:val="003D1E09"/>
    <w:rsid w:val="003D25F5"/>
    <w:rsid w:val="003D337F"/>
    <w:rsid w:val="003D33EC"/>
    <w:rsid w:val="003D42B3"/>
    <w:rsid w:val="003D4658"/>
    <w:rsid w:val="003D493D"/>
    <w:rsid w:val="003D60FB"/>
    <w:rsid w:val="003D72DC"/>
    <w:rsid w:val="003E13DC"/>
    <w:rsid w:val="003E19E4"/>
    <w:rsid w:val="003E1E00"/>
    <w:rsid w:val="003E259C"/>
    <w:rsid w:val="003E36C8"/>
    <w:rsid w:val="003E5095"/>
    <w:rsid w:val="003E5DD6"/>
    <w:rsid w:val="003E660D"/>
    <w:rsid w:val="003F2CF2"/>
    <w:rsid w:val="003F4DBF"/>
    <w:rsid w:val="003F5FB0"/>
    <w:rsid w:val="003F6A33"/>
    <w:rsid w:val="003F7760"/>
    <w:rsid w:val="00400C14"/>
    <w:rsid w:val="0040167F"/>
    <w:rsid w:val="00401A4E"/>
    <w:rsid w:val="00402A0B"/>
    <w:rsid w:val="00402E5A"/>
    <w:rsid w:val="00403FE7"/>
    <w:rsid w:val="0040493A"/>
    <w:rsid w:val="00405B0F"/>
    <w:rsid w:val="00406DA5"/>
    <w:rsid w:val="00407F54"/>
    <w:rsid w:val="00410D9B"/>
    <w:rsid w:val="004129A1"/>
    <w:rsid w:val="00412CD1"/>
    <w:rsid w:val="004163A6"/>
    <w:rsid w:val="00416966"/>
    <w:rsid w:val="00417B92"/>
    <w:rsid w:val="00420527"/>
    <w:rsid w:val="00421299"/>
    <w:rsid w:val="0042197C"/>
    <w:rsid w:val="0042577D"/>
    <w:rsid w:val="00425F38"/>
    <w:rsid w:val="00431D16"/>
    <w:rsid w:val="004331BE"/>
    <w:rsid w:val="00433272"/>
    <w:rsid w:val="00434A57"/>
    <w:rsid w:val="00434E99"/>
    <w:rsid w:val="00436D9F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59D1"/>
    <w:rsid w:val="00447E29"/>
    <w:rsid w:val="0045023F"/>
    <w:rsid w:val="004503B9"/>
    <w:rsid w:val="00450DFD"/>
    <w:rsid w:val="0045404C"/>
    <w:rsid w:val="004556C2"/>
    <w:rsid w:val="004620EF"/>
    <w:rsid w:val="0046560C"/>
    <w:rsid w:val="00465A0C"/>
    <w:rsid w:val="004675C1"/>
    <w:rsid w:val="0047018C"/>
    <w:rsid w:val="0047325C"/>
    <w:rsid w:val="004749DC"/>
    <w:rsid w:val="00474EA7"/>
    <w:rsid w:val="00475044"/>
    <w:rsid w:val="00476052"/>
    <w:rsid w:val="00476CE8"/>
    <w:rsid w:val="00476F5F"/>
    <w:rsid w:val="0047743F"/>
    <w:rsid w:val="004801A0"/>
    <w:rsid w:val="00480BFD"/>
    <w:rsid w:val="004819C6"/>
    <w:rsid w:val="00481F5D"/>
    <w:rsid w:val="004826FD"/>
    <w:rsid w:val="00482950"/>
    <w:rsid w:val="004831F0"/>
    <w:rsid w:val="0048427B"/>
    <w:rsid w:val="00487FF7"/>
    <w:rsid w:val="00493057"/>
    <w:rsid w:val="00495B4B"/>
    <w:rsid w:val="00495F57"/>
    <w:rsid w:val="004963FB"/>
    <w:rsid w:val="0049643E"/>
    <w:rsid w:val="0049724A"/>
    <w:rsid w:val="004A0AF4"/>
    <w:rsid w:val="004A1DDE"/>
    <w:rsid w:val="004A398B"/>
    <w:rsid w:val="004A4511"/>
    <w:rsid w:val="004A4617"/>
    <w:rsid w:val="004A71CA"/>
    <w:rsid w:val="004A7BDB"/>
    <w:rsid w:val="004A7D7F"/>
    <w:rsid w:val="004B02FD"/>
    <w:rsid w:val="004B05DE"/>
    <w:rsid w:val="004B0675"/>
    <w:rsid w:val="004B15AC"/>
    <w:rsid w:val="004B1977"/>
    <w:rsid w:val="004B1DCB"/>
    <w:rsid w:val="004B49BE"/>
    <w:rsid w:val="004B5886"/>
    <w:rsid w:val="004B69B8"/>
    <w:rsid w:val="004B7429"/>
    <w:rsid w:val="004C30F7"/>
    <w:rsid w:val="004C32C0"/>
    <w:rsid w:val="004C332D"/>
    <w:rsid w:val="004C547C"/>
    <w:rsid w:val="004C64D5"/>
    <w:rsid w:val="004C7375"/>
    <w:rsid w:val="004D1127"/>
    <w:rsid w:val="004D1188"/>
    <w:rsid w:val="004D16F1"/>
    <w:rsid w:val="004D5FE1"/>
    <w:rsid w:val="004D7819"/>
    <w:rsid w:val="004E17F6"/>
    <w:rsid w:val="004E19BA"/>
    <w:rsid w:val="004E2559"/>
    <w:rsid w:val="004E3388"/>
    <w:rsid w:val="004E3FB8"/>
    <w:rsid w:val="004E469F"/>
    <w:rsid w:val="004E4E61"/>
    <w:rsid w:val="004E4F16"/>
    <w:rsid w:val="004E551F"/>
    <w:rsid w:val="004E5A43"/>
    <w:rsid w:val="004E5CFE"/>
    <w:rsid w:val="004E678E"/>
    <w:rsid w:val="004F0BB1"/>
    <w:rsid w:val="004F0E76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079"/>
    <w:rsid w:val="00511293"/>
    <w:rsid w:val="005112FF"/>
    <w:rsid w:val="0051223D"/>
    <w:rsid w:val="00513569"/>
    <w:rsid w:val="00513E8D"/>
    <w:rsid w:val="00514C5E"/>
    <w:rsid w:val="00514CE1"/>
    <w:rsid w:val="00517208"/>
    <w:rsid w:val="00517E2E"/>
    <w:rsid w:val="00522BBF"/>
    <w:rsid w:val="00522CD5"/>
    <w:rsid w:val="00524405"/>
    <w:rsid w:val="00526BDE"/>
    <w:rsid w:val="00530621"/>
    <w:rsid w:val="0053072F"/>
    <w:rsid w:val="00530C38"/>
    <w:rsid w:val="00531E8F"/>
    <w:rsid w:val="0053647E"/>
    <w:rsid w:val="00536946"/>
    <w:rsid w:val="0053707B"/>
    <w:rsid w:val="0053777C"/>
    <w:rsid w:val="005413BB"/>
    <w:rsid w:val="0054215F"/>
    <w:rsid w:val="0054262A"/>
    <w:rsid w:val="00542C65"/>
    <w:rsid w:val="00543593"/>
    <w:rsid w:val="00544941"/>
    <w:rsid w:val="00547425"/>
    <w:rsid w:val="00547F23"/>
    <w:rsid w:val="00550E93"/>
    <w:rsid w:val="005514ED"/>
    <w:rsid w:val="00551E40"/>
    <w:rsid w:val="00553D4E"/>
    <w:rsid w:val="005543BA"/>
    <w:rsid w:val="00554628"/>
    <w:rsid w:val="00555482"/>
    <w:rsid w:val="005576BA"/>
    <w:rsid w:val="00560B13"/>
    <w:rsid w:val="0056186E"/>
    <w:rsid w:val="00561EFF"/>
    <w:rsid w:val="00563056"/>
    <w:rsid w:val="00563976"/>
    <w:rsid w:val="00564B49"/>
    <w:rsid w:val="0056694D"/>
    <w:rsid w:val="00567822"/>
    <w:rsid w:val="00567F0A"/>
    <w:rsid w:val="005700F9"/>
    <w:rsid w:val="00570CE0"/>
    <w:rsid w:val="00571C12"/>
    <w:rsid w:val="005733ED"/>
    <w:rsid w:val="005735D7"/>
    <w:rsid w:val="005773CD"/>
    <w:rsid w:val="00580CF4"/>
    <w:rsid w:val="005818DF"/>
    <w:rsid w:val="005843D3"/>
    <w:rsid w:val="00584661"/>
    <w:rsid w:val="00585348"/>
    <w:rsid w:val="0058647D"/>
    <w:rsid w:val="00586808"/>
    <w:rsid w:val="00586C78"/>
    <w:rsid w:val="00586FC1"/>
    <w:rsid w:val="0058729F"/>
    <w:rsid w:val="00587D88"/>
    <w:rsid w:val="00591ECA"/>
    <w:rsid w:val="005931C2"/>
    <w:rsid w:val="00593778"/>
    <w:rsid w:val="00594346"/>
    <w:rsid w:val="00594C90"/>
    <w:rsid w:val="00596426"/>
    <w:rsid w:val="00597E77"/>
    <w:rsid w:val="00597E9F"/>
    <w:rsid w:val="005A0CA7"/>
    <w:rsid w:val="005A42FA"/>
    <w:rsid w:val="005A5156"/>
    <w:rsid w:val="005A573E"/>
    <w:rsid w:val="005A6369"/>
    <w:rsid w:val="005B0455"/>
    <w:rsid w:val="005B0D5C"/>
    <w:rsid w:val="005B29F4"/>
    <w:rsid w:val="005B425F"/>
    <w:rsid w:val="005B61D0"/>
    <w:rsid w:val="005B71A9"/>
    <w:rsid w:val="005B74A0"/>
    <w:rsid w:val="005C0277"/>
    <w:rsid w:val="005C047F"/>
    <w:rsid w:val="005C1EB3"/>
    <w:rsid w:val="005C5D7F"/>
    <w:rsid w:val="005C7136"/>
    <w:rsid w:val="005C78C2"/>
    <w:rsid w:val="005D06CF"/>
    <w:rsid w:val="005D1ED9"/>
    <w:rsid w:val="005D2C99"/>
    <w:rsid w:val="005D4652"/>
    <w:rsid w:val="005D4B89"/>
    <w:rsid w:val="005D53D1"/>
    <w:rsid w:val="005D5473"/>
    <w:rsid w:val="005D5521"/>
    <w:rsid w:val="005D5983"/>
    <w:rsid w:val="005D5EC2"/>
    <w:rsid w:val="005D65FD"/>
    <w:rsid w:val="005E0765"/>
    <w:rsid w:val="005E083E"/>
    <w:rsid w:val="005E0B96"/>
    <w:rsid w:val="005E1081"/>
    <w:rsid w:val="005E17D7"/>
    <w:rsid w:val="005E1E34"/>
    <w:rsid w:val="005E3617"/>
    <w:rsid w:val="005E412F"/>
    <w:rsid w:val="005E4A67"/>
    <w:rsid w:val="005E6D6E"/>
    <w:rsid w:val="005F1553"/>
    <w:rsid w:val="005F4EAC"/>
    <w:rsid w:val="005F56D7"/>
    <w:rsid w:val="005F6B09"/>
    <w:rsid w:val="005F7658"/>
    <w:rsid w:val="005F77D3"/>
    <w:rsid w:val="00600FAD"/>
    <w:rsid w:val="00601AEC"/>
    <w:rsid w:val="00602094"/>
    <w:rsid w:val="00602C59"/>
    <w:rsid w:val="006039CF"/>
    <w:rsid w:val="00603C87"/>
    <w:rsid w:val="00605208"/>
    <w:rsid w:val="00605365"/>
    <w:rsid w:val="00605BF9"/>
    <w:rsid w:val="00607597"/>
    <w:rsid w:val="0060765D"/>
    <w:rsid w:val="00607E3F"/>
    <w:rsid w:val="00610058"/>
    <w:rsid w:val="006115D7"/>
    <w:rsid w:val="00613304"/>
    <w:rsid w:val="00616D7C"/>
    <w:rsid w:val="00621C63"/>
    <w:rsid w:val="00621DE5"/>
    <w:rsid w:val="00623646"/>
    <w:rsid w:val="006236DD"/>
    <w:rsid w:val="00624ACF"/>
    <w:rsid w:val="00624EDA"/>
    <w:rsid w:val="00625DE5"/>
    <w:rsid w:val="00626B93"/>
    <w:rsid w:val="0062720B"/>
    <w:rsid w:val="00630EC2"/>
    <w:rsid w:val="00634031"/>
    <w:rsid w:val="00636763"/>
    <w:rsid w:val="00636A4A"/>
    <w:rsid w:val="006410BB"/>
    <w:rsid w:val="00642BAF"/>
    <w:rsid w:val="006431EF"/>
    <w:rsid w:val="006444EB"/>
    <w:rsid w:val="0064462C"/>
    <w:rsid w:val="00644EEB"/>
    <w:rsid w:val="00645A28"/>
    <w:rsid w:val="00645F3B"/>
    <w:rsid w:val="00645FF7"/>
    <w:rsid w:val="00646542"/>
    <w:rsid w:val="00646BA3"/>
    <w:rsid w:val="00646D58"/>
    <w:rsid w:val="00646E04"/>
    <w:rsid w:val="00650FE2"/>
    <w:rsid w:val="00651B8D"/>
    <w:rsid w:val="00651D0C"/>
    <w:rsid w:val="00656719"/>
    <w:rsid w:val="006602AE"/>
    <w:rsid w:val="006620C8"/>
    <w:rsid w:val="00662C71"/>
    <w:rsid w:val="0066565E"/>
    <w:rsid w:val="00665DEC"/>
    <w:rsid w:val="0066654B"/>
    <w:rsid w:val="0066733A"/>
    <w:rsid w:val="00667CAF"/>
    <w:rsid w:val="00671045"/>
    <w:rsid w:val="006720F0"/>
    <w:rsid w:val="0067242B"/>
    <w:rsid w:val="00672440"/>
    <w:rsid w:val="00673B45"/>
    <w:rsid w:val="00675995"/>
    <w:rsid w:val="00680E05"/>
    <w:rsid w:val="006819EF"/>
    <w:rsid w:val="00683F79"/>
    <w:rsid w:val="00686D1D"/>
    <w:rsid w:val="006922F8"/>
    <w:rsid w:val="006923C7"/>
    <w:rsid w:val="0069379A"/>
    <w:rsid w:val="006A034C"/>
    <w:rsid w:val="006A4001"/>
    <w:rsid w:val="006A437A"/>
    <w:rsid w:val="006A48DB"/>
    <w:rsid w:val="006A5D6E"/>
    <w:rsid w:val="006A7FC4"/>
    <w:rsid w:val="006B0124"/>
    <w:rsid w:val="006B136B"/>
    <w:rsid w:val="006B5878"/>
    <w:rsid w:val="006B76CA"/>
    <w:rsid w:val="006B798C"/>
    <w:rsid w:val="006BCE9D"/>
    <w:rsid w:val="006C2E94"/>
    <w:rsid w:val="006C2F7B"/>
    <w:rsid w:val="006C30D8"/>
    <w:rsid w:val="006C3DBC"/>
    <w:rsid w:val="006C4B3C"/>
    <w:rsid w:val="006C6A04"/>
    <w:rsid w:val="006C6B7E"/>
    <w:rsid w:val="006D1ECB"/>
    <w:rsid w:val="006D3A42"/>
    <w:rsid w:val="006D4060"/>
    <w:rsid w:val="006D6268"/>
    <w:rsid w:val="006D6AD6"/>
    <w:rsid w:val="006E02F2"/>
    <w:rsid w:val="006E0A97"/>
    <w:rsid w:val="006E1F91"/>
    <w:rsid w:val="006E6A33"/>
    <w:rsid w:val="006F300E"/>
    <w:rsid w:val="006F3FB7"/>
    <w:rsid w:val="006F4543"/>
    <w:rsid w:val="006F4714"/>
    <w:rsid w:val="006F4E8D"/>
    <w:rsid w:val="006F6F27"/>
    <w:rsid w:val="00700601"/>
    <w:rsid w:val="00701297"/>
    <w:rsid w:val="00704355"/>
    <w:rsid w:val="007043E6"/>
    <w:rsid w:val="00705B8E"/>
    <w:rsid w:val="00706D64"/>
    <w:rsid w:val="00712CFB"/>
    <w:rsid w:val="007143D3"/>
    <w:rsid w:val="00717E5C"/>
    <w:rsid w:val="0072025D"/>
    <w:rsid w:val="007208A7"/>
    <w:rsid w:val="00721B35"/>
    <w:rsid w:val="00722062"/>
    <w:rsid w:val="0072221F"/>
    <w:rsid w:val="0072297D"/>
    <w:rsid w:val="00723688"/>
    <w:rsid w:val="00723C4C"/>
    <w:rsid w:val="00723D9A"/>
    <w:rsid w:val="00723F7E"/>
    <w:rsid w:val="00725208"/>
    <w:rsid w:val="0072742A"/>
    <w:rsid w:val="00731571"/>
    <w:rsid w:val="00733EB7"/>
    <w:rsid w:val="007340D4"/>
    <w:rsid w:val="00735E06"/>
    <w:rsid w:val="007360C4"/>
    <w:rsid w:val="007363FF"/>
    <w:rsid w:val="0074075F"/>
    <w:rsid w:val="007411F4"/>
    <w:rsid w:val="0074299F"/>
    <w:rsid w:val="00744575"/>
    <w:rsid w:val="007454B1"/>
    <w:rsid w:val="00745BCD"/>
    <w:rsid w:val="007501CB"/>
    <w:rsid w:val="007509F9"/>
    <w:rsid w:val="00750A2C"/>
    <w:rsid w:val="00755872"/>
    <w:rsid w:val="00756589"/>
    <w:rsid w:val="00757406"/>
    <w:rsid w:val="0076145F"/>
    <w:rsid w:val="0076315A"/>
    <w:rsid w:val="00763629"/>
    <w:rsid w:val="00763796"/>
    <w:rsid w:val="00766A2C"/>
    <w:rsid w:val="00767290"/>
    <w:rsid w:val="00767B1F"/>
    <w:rsid w:val="00767E5E"/>
    <w:rsid w:val="007700D9"/>
    <w:rsid w:val="00772BE0"/>
    <w:rsid w:val="007735B4"/>
    <w:rsid w:val="007740C9"/>
    <w:rsid w:val="0077492D"/>
    <w:rsid w:val="00775D13"/>
    <w:rsid w:val="00776F3D"/>
    <w:rsid w:val="00780990"/>
    <w:rsid w:val="0078124C"/>
    <w:rsid w:val="00781566"/>
    <w:rsid w:val="0078180C"/>
    <w:rsid w:val="00782402"/>
    <w:rsid w:val="00784469"/>
    <w:rsid w:val="00784CDD"/>
    <w:rsid w:val="00785A9E"/>
    <w:rsid w:val="00791896"/>
    <w:rsid w:val="0079267E"/>
    <w:rsid w:val="007937E9"/>
    <w:rsid w:val="007938AE"/>
    <w:rsid w:val="007A1E78"/>
    <w:rsid w:val="007A4B08"/>
    <w:rsid w:val="007A5668"/>
    <w:rsid w:val="007A5818"/>
    <w:rsid w:val="007A59E9"/>
    <w:rsid w:val="007A5B9F"/>
    <w:rsid w:val="007B0AD0"/>
    <w:rsid w:val="007B21DC"/>
    <w:rsid w:val="007B27D2"/>
    <w:rsid w:val="007B28BF"/>
    <w:rsid w:val="007B29A0"/>
    <w:rsid w:val="007B2E80"/>
    <w:rsid w:val="007B2F37"/>
    <w:rsid w:val="007B5E4F"/>
    <w:rsid w:val="007B6F8E"/>
    <w:rsid w:val="007B7BC9"/>
    <w:rsid w:val="007C027E"/>
    <w:rsid w:val="007C1993"/>
    <w:rsid w:val="007C33E6"/>
    <w:rsid w:val="007C6802"/>
    <w:rsid w:val="007C6CDC"/>
    <w:rsid w:val="007D07B2"/>
    <w:rsid w:val="007D1D74"/>
    <w:rsid w:val="007D279F"/>
    <w:rsid w:val="007D2A4F"/>
    <w:rsid w:val="007D2E98"/>
    <w:rsid w:val="007D3E5D"/>
    <w:rsid w:val="007D4317"/>
    <w:rsid w:val="007D63F5"/>
    <w:rsid w:val="007D6BFF"/>
    <w:rsid w:val="007D7AD8"/>
    <w:rsid w:val="007D7DA0"/>
    <w:rsid w:val="007D8C13"/>
    <w:rsid w:val="007E12CB"/>
    <w:rsid w:val="007E3695"/>
    <w:rsid w:val="007E37F7"/>
    <w:rsid w:val="007E52D3"/>
    <w:rsid w:val="007E5C16"/>
    <w:rsid w:val="007E636F"/>
    <w:rsid w:val="007E69FA"/>
    <w:rsid w:val="007E6BCA"/>
    <w:rsid w:val="007F0363"/>
    <w:rsid w:val="007F058A"/>
    <w:rsid w:val="007F1FAC"/>
    <w:rsid w:val="007F4958"/>
    <w:rsid w:val="007F4E55"/>
    <w:rsid w:val="007F6CB2"/>
    <w:rsid w:val="007F7F20"/>
    <w:rsid w:val="00803814"/>
    <w:rsid w:val="00804C85"/>
    <w:rsid w:val="00804F6B"/>
    <w:rsid w:val="008066F2"/>
    <w:rsid w:val="00806E28"/>
    <w:rsid w:val="00807583"/>
    <w:rsid w:val="008107A1"/>
    <w:rsid w:val="00810DE8"/>
    <w:rsid w:val="008125E5"/>
    <w:rsid w:val="00812C55"/>
    <w:rsid w:val="00813B9C"/>
    <w:rsid w:val="00814054"/>
    <w:rsid w:val="00815E89"/>
    <w:rsid w:val="008179CB"/>
    <w:rsid w:val="0082163D"/>
    <w:rsid w:val="00821CE0"/>
    <w:rsid w:val="00822AE7"/>
    <w:rsid w:val="008232A0"/>
    <w:rsid w:val="00824DF4"/>
    <w:rsid w:val="00824DF7"/>
    <w:rsid w:val="00824FCA"/>
    <w:rsid w:val="00827AF7"/>
    <w:rsid w:val="00830FDB"/>
    <w:rsid w:val="008321F0"/>
    <w:rsid w:val="008327F2"/>
    <w:rsid w:val="00832C85"/>
    <w:rsid w:val="00834B51"/>
    <w:rsid w:val="00834EE0"/>
    <w:rsid w:val="00840B50"/>
    <w:rsid w:val="0084210E"/>
    <w:rsid w:val="0084593B"/>
    <w:rsid w:val="00845F07"/>
    <w:rsid w:val="00854224"/>
    <w:rsid w:val="0085498E"/>
    <w:rsid w:val="008566BB"/>
    <w:rsid w:val="00857445"/>
    <w:rsid w:val="008605BE"/>
    <w:rsid w:val="00863461"/>
    <w:rsid w:val="008665AF"/>
    <w:rsid w:val="008716DC"/>
    <w:rsid w:val="00872417"/>
    <w:rsid w:val="008746B0"/>
    <w:rsid w:val="008755E2"/>
    <w:rsid w:val="00875A10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67B6"/>
    <w:rsid w:val="008A0568"/>
    <w:rsid w:val="008A17C5"/>
    <w:rsid w:val="008A3683"/>
    <w:rsid w:val="008A3E4A"/>
    <w:rsid w:val="008A5C91"/>
    <w:rsid w:val="008A669F"/>
    <w:rsid w:val="008B03BD"/>
    <w:rsid w:val="008B19B0"/>
    <w:rsid w:val="008B306E"/>
    <w:rsid w:val="008B3F89"/>
    <w:rsid w:val="008B4A57"/>
    <w:rsid w:val="008B58F7"/>
    <w:rsid w:val="008B5AE9"/>
    <w:rsid w:val="008B6680"/>
    <w:rsid w:val="008C135A"/>
    <w:rsid w:val="008C165E"/>
    <w:rsid w:val="008C4430"/>
    <w:rsid w:val="008C5EC5"/>
    <w:rsid w:val="008C5F00"/>
    <w:rsid w:val="008C5F2A"/>
    <w:rsid w:val="008D0560"/>
    <w:rsid w:val="008D1232"/>
    <w:rsid w:val="008D12BC"/>
    <w:rsid w:val="008D1EE9"/>
    <w:rsid w:val="008D265F"/>
    <w:rsid w:val="008D4725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5BF"/>
    <w:rsid w:val="008F4965"/>
    <w:rsid w:val="009005A1"/>
    <w:rsid w:val="009036DE"/>
    <w:rsid w:val="00905123"/>
    <w:rsid w:val="0090579E"/>
    <w:rsid w:val="00905F07"/>
    <w:rsid w:val="0090688A"/>
    <w:rsid w:val="0091064A"/>
    <w:rsid w:val="00912337"/>
    <w:rsid w:val="009128C3"/>
    <w:rsid w:val="0091296D"/>
    <w:rsid w:val="00912D67"/>
    <w:rsid w:val="00914346"/>
    <w:rsid w:val="00914AB4"/>
    <w:rsid w:val="00917286"/>
    <w:rsid w:val="00920AEB"/>
    <w:rsid w:val="00920DEA"/>
    <w:rsid w:val="009218C1"/>
    <w:rsid w:val="00921DB0"/>
    <w:rsid w:val="00923234"/>
    <w:rsid w:val="00923BC2"/>
    <w:rsid w:val="00924D53"/>
    <w:rsid w:val="009255A0"/>
    <w:rsid w:val="009256A6"/>
    <w:rsid w:val="00927DDF"/>
    <w:rsid w:val="0093034B"/>
    <w:rsid w:val="0093257C"/>
    <w:rsid w:val="0093363B"/>
    <w:rsid w:val="009345AB"/>
    <w:rsid w:val="0093483A"/>
    <w:rsid w:val="009404B6"/>
    <w:rsid w:val="009407E7"/>
    <w:rsid w:val="00940A39"/>
    <w:rsid w:val="0094123C"/>
    <w:rsid w:val="00942ECB"/>
    <w:rsid w:val="0094305E"/>
    <w:rsid w:val="0094370B"/>
    <w:rsid w:val="00944347"/>
    <w:rsid w:val="009471DB"/>
    <w:rsid w:val="00950452"/>
    <w:rsid w:val="009513A3"/>
    <w:rsid w:val="00955A2F"/>
    <w:rsid w:val="00957241"/>
    <w:rsid w:val="0096166C"/>
    <w:rsid w:val="0096219B"/>
    <w:rsid w:val="009625EE"/>
    <w:rsid w:val="00962AA6"/>
    <w:rsid w:val="009649CB"/>
    <w:rsid w:val="00964EBF"/>
    <w:rsid w:val="00965A7C"/>
    <w:rsid w:val="0097125D"/>
    <w:rsid w:val="00971385"/>
    <w:rsid w:val="009723D4"/>
    <w:rsid w:val="00973336"/>
    <w:rsid w:val="00973FC0"/>
    <w:rsid w:val="0097486B"/>
    <w:rsid w:val="009754AD"/>
    <w:rsid w:val="00975C06"/>
    <w:rsid w:val="00976F9D"/>
    <w:rsid w:val="009800F0"/>
    <w:rsid w:val="00980A40"/>
    <w:rsid w:val="00981D97"/>
    <w:rsid w:val="00981EFE"/>
    <w:rsid w:val="009823AB"/>
    <w:rsid w:val="009829E0"/>
    <w:rsid w:val="00984DD3"/>
    <w:rsid w:val="00985992"/>
    <w:rsid w:val="009862C7"/>
    <w:rsid w:val="00986E2C"/>
    <w:rsid w:val="009870ED"/>
    <w:rsid w:val="00987202"/>
    <w:rsid w:val="0098751C"/>
    <w:rsid w:val="00990076"/>
    <w:rsid w:val="00990BFE"/>
    <w:rsid w:val="00991B6C"/>
    <w:rsid w:val="00994324"/>
    <w:rsid w:val="009949FB"/>
    <w:rsid w:val="009953EA"/>
    <w:rsid w:val="0099587D"/>
    <w:rsid w:val="009A2F27"/>
    <w:rsid w:val="009A5840"/>
    <w:rsid w:val="009A5C03"/>
    <w:rsid w:val="009A6710"/>
    <w:rsid w:val="009A6788"/>
    <w:rsid w:val="009A6CDC"/>
    <w:rsid w:val="009A748C"/>
    <w:rsid w:val="009A7E20"/>
    <w:rsid w:val="009B0227"/>
    <w:rsid w:val="009B12C0"/>
    <w:rsid w:val="009B3816"/>
    <w:rsid w:val="009B5B5F"/>
    <w:rsid w:val="009B6022"/>
    <w:rsid w:val="009B7B70"/>
    <w:rsid w:val="009B7BFA"/>
    <w:rsid w:val="009C1872"/>
    <w:rsid w:val="009C2482"/>
    <w:rsid w:val="009C391E"/>
    <w:rsid w:val="009C424A"/>
    <w:rsid w:val="009C4339"/>
    <w:rsid w:val="009C4360"/>
    <w:rsid w:val="009C5EE7"/>
    <w:rsid w:val="009D1B5C"/>
    <w:rsid w:val="009D314B"/>
    <w:rsid w:val="009D37F2"/>
    <w:rsid w:val="009D3C8A"/>
    <w:rsid w:val="009D52BE"/>
    <w:rsid w:val="009D541C"/>
    <w:rsid w:val="009E0956"/>
    <w:rsid w:val="009E0965"/>
    <w:rsid w:val="009E20A5"/>
    <w:rsid w:val="009E2AE8"/>
    <w:rsid w:val="009E2BDB"/>
    <w:rsid w:val="009E3330"/>
    <w:rsid w:val="009E3379"/>
    <w:rsid w:val="009E4EAC"/>
    <w:rsid w:val="009E71FC"/>
    <w:rsid w:val="009F0EC7"/>
    <w:rsid w:val="009F2700"/>
    <w:rsid w:val="009F427D"/>
    <w:rsid w:val="009F565D"/>
    <w:rsid w:val="009F6070"/>
    <w:rsid w:val="009F785B"/>
    <w:rsid w:val="00A0121A"/>
    <w:rsid w:val="00A0421C"/>
    <w:rsid w:val="00A0456A"/>
    <w:rsid w:val="00A05CFE"/>
    <w:rsid w:val="00A11032"/>
    <w:rsid w:val="00A117CE"/>
    <w:rsid w:val="00A1274E"/>
    <w:rsid w:val="00A12DB6"/>
    <w:rsid w:val="00A14F4B"/>
    <w:rsid w:val="00A15A89"/>
    <w:rsid w:val="00A178ED"/>
    <w:rsid w:val="00A17B72"/>
    <w:rsid w:val="00A17DD0"/>
    <w:rsid w:val="00A2020B"/>
    <w:rsid w:val="00A20BD9"/>
    <w:rsid w:val="00A20CA1"/>
    <w:rsid w:val="00A21361"/>
    <w:rsid w:val="00A24664"/>
    <w:rsid w:val="00A24DFF"/>
    <w:rsid w:val="00A25CDA"/>
    <w:rsid w:val="00A26E88"/>
    <w:rsid w:val="00A318B3"/>
    <w:rsid w:val="00A31F3A"/>
    <w:rsid w:val="00A32BA3"/>
    <w:rsid w:val="00A33FF2"/>
    <w:rsid w:val="00A34A4A"/>
    <w:rsid w:val="00A3612B"/>
    <w:rsid w:val="00A36EA1"/>
    <w:rsid w:val="00A4051D"/>
    <w:rsid w:val="00A40B9C"/>
    <w:rsid w:val="00A42598"/>
    <w:rsid w:val="00A431C8"/>
    <w:rsid w:val="00A43553"/>
    <w:rsid w:val="00A43B71"/>
    <w:rsid w:val="00A43FCE"/>
    <w:rsid w:val="00A443F5"/>
    <w:rsid w:val="00A44B60"/>
    <w:rsid w:val="00A46306"/>
    <w:rsid w:val="00A46F3B"/>
    <w:rsid w:val="00A47B75"/>
    <w:rsid w:val="00A504BA"/>
    <w:rsid w:val="00A508A7"/>
    <w:rsid w:val="00A525AC"/>
    <w:rsid w:val="00A52E39"/>
    <w:rsid w:val="00A53C76"/>
    <w:rsid w:val="00A56A9A"/>
    <w:rsid w:val="00A60A2C"/>
    <w:rsid w:val="00A60C49"/>
    <w:rsid w:val="00A616C1"/>
    <w:rsid w:val="00A63A42"/>
    <w:rsid w:val="00A63CDC"/>
    <w:rsid w:val="00A6421B"/>
    <w:rsid w:val="00A6421D"/>
    <w:rsid w:val="00A6491E"/>
    <w:rsid w:val="00A64EB5"/>
    <w:rsid w:val="00A65140"/>
    <w:rsid w:val="00A65FA9"/>
    <w:rsid w:val="00A670BA"/>
    <w:rsid w:val="00A679EB"/>
    <w:rsid w:val="00A7079A"/>
    <w:rsid w:val="00A724E8"/>
    <w:rsid w:val="00A725B1"/>
    <w:rsid w:val="00A7299D"/>
    <w:rsid w:val="00A74CB5"/>
    <w:rsid w:val="00A7612A"/>
    <w:rsid w:val="00A80046"/>
    <w:rsid w:val="00A8058B"/>
    <w:rsid w:val="00A81958"/>
    <w:rsid w:val="00A81FEC"/>
    <w:rsid w:val="00A828FB"/>
    <w:rsid w:val="00A83B48"/>
    <w:rsid w:val="00A83E17"/>
    <w:rsid w:val="00A853AF"/>
    <w:rsid w:val="00A854A2"/>
    <w:rsid w:val="00A85A4A"/>
    <w:rsid w:val="00A869E7"/>
    <w:rsid w:val="00A87456"/>
    <w:rsid w:val="00A90767"/>
    <w:rsid w:val="00A9156D"/>
    <w:rsid w:val="00A91F48"/>
    <w:rsid w:val="00A936F1"/>
    <w:rsid w:val="00A943B1"/>
    <w:rsid w:val="00A94BD6"/>
    <w:rsid w:val="00A96FEA"/>
    <w:rsid w:val="00A97621"/>
    <w:rsid w:val="00A97DD7"/>
    <w:rsid w:val="00AA009A"/>
    <w:rsid w:val="00AA1E83"/>
    <w:rsid w:val="00AA22C4"/>
    <w:rsid w:val="00AA2628"/>
    <w:rsid w:val="00AA391C"/>
    <w:rsid w:val="00AA657D"/>
    <w:rsid w:val="00AA7BDE"/>
    <w:rsid w:val="00AB0E85"/>
    <w:rsid w:val="00AB21D5"/>
    <w:rsid w:val="00AB281F"/>
    <w:rsid w:val="00AB3943"/>
    <w:rsid w:val="00AB3ACB"/>
    <w:rsid w:val="00AB5CC0"/>
    <w:rsid w:val="00AB7AE1"/>
    <w:rsid w:val="00AB7AE6"/>
    <w:rsid w:val="00AC028C"/>
    <w:rsid w:val="00AC1946"/>
    <w:rsid w:val="00AC20CB"/>
    <w:rsid w:val="00AC3364"/>
    <w:rsid w:val="00AC3486"/>
    <w:rsid w:val="00AC52E8"/>
    <w:rsid w:val="00AC61DD"/>
    <w:rsid w:val="00AC6AF1"/>
    <w:rsid w:val="00AC7749"/>
    <w:rsid w:val="00AD0EB1"/>
    <w:rsid w:val="00AD4010"/>
    <w:rsid w:val="00AE2691"/>
    <w:rsid w:val="00AE2BD4"/>
    <w:rsid w:val="00AE4A9E"/>
    <w:rsid w:val="00AE5936"/>
    <w:rsid w:val="00AE7566"/>
    <w:rsid w:val="00AE7AAF"/>
    <w:rsid w:val="00AE7BC6"/>
    <w:rsid w:val="00AF1367"/>
    <w:rsid w:val="00AF13F9"/>
    <w:rsid w:val="00AF1A05"/>
    <w:rsid w:val="00AF36D8"/>
    <w:rsid w:val="00AF379F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00FD"/>
    <w:rsid w:val="00B11B79"/>
    <w:rsid w:val="00B12075"/>
    <w:rsid w:val="00B12E66"/>
    <w:rsid w:val="00B1407E"/>
    <w:rsid w:val="00B161C6"/>
    <w:rsid w:val="00B16586"/>
    <w:rsid w:val="00B16AD8"/>
    <w:rsid w:val="00B201BC"/>
    <w:rsid w:val="00B2155C"/>
    <w:rsid w:val="00B23F91"/>
    <w:rsid w:val="00B24442"/>
    <w:rsid w:val="00B244C3"/>
    <w:rsid w:val="00B24EA9"/>
    <w:rsid w:val="00B27458"/>
    <w:rsid w:val="00B276A7"/>
    <w:rsid w:val="00B30DE4"/>
    <w:rsid w:val="00B328A7"/>
    <w:rsid w:val="00B34EF0"/>
    <w:rsid w:val="00B36433"/>
    <w:rsid w:val="00B3661C"/>
    <w:rsid w:val="00B37758"/>
    <w:rsid w:val="00B40D85"/>
    <w:rsid w:val="00B427ED"/>
    <w:rsid w:val="00B4548A"/>
    <w:rsid w:val="00B507A0"/>
    <w:rsid w:val="00B519BE"/>
    <w:rsid w:val="00B5317E"/>
    <w:rsid w:val="00B534CE"/>
    <w:rsid w:val="00B53DDB"/>
    <w:rsid w:val="00B54848"/>
    <w:rsid w:val="00B55B05"/>
    <w:rsid w:val="00B570E6"/>
    <w:rsid w:val="00B57C47"/>
    <w:rsid w:val="00B615E0"/>
    <w:rsid w:val="00B618F9"/>
    <w:rsid w:val="00B627B2"/>
    <w:rsid w:val="00B63E4C"/>
    <w:rsid w:val="00B6559D"/>
    <w:rsid w:val="00B65DD1"/>
    <w:rsid w:val="00B665D7"/>
    <w:rsid w:val="00B70660"/>
    <w:rsid w:val="00B70E72"/>
    <w:rsid w:val="00B71884"/>
    <w:rsid w:val="00B71DD1"/>
    <w:rsid w:val="00B72149"/>
    <w:rsid w:val="00B75885"/>
    <w:rsid w:val="00B75D96"/>
    <w:rsid w:val="00B76CE5"/>
    <w:rsid w:val="00B829DE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601"/>
    <w:rsid w:val="00B9613E"/>
    <w:rsid w:val="00B96BC3"/>
    <w:rsid w:val="00B976E0"/>
    <w:rsid w:val="00BA32CF"/>
    <w:rsid w:val="00BA405A"/>
    <w:rsid w:val="00BA4B85"/>
    <w:rsid w:val="00BA6FE1"/>
    <w:rsid w:val="00BB0723"/>
    <w:rsid w:val="00BB1A47"/>
    <w:rsid w:val="00BB20BA"/>
    <w:rsid w:val="00BB25AB"/>
    <w:rsid w:val="00BB6986"/>
    <w:rsid w:val="00BB6BF3"/>
    <w:rsid w:val="00BB7183"/>
    <w:rsid w:val="00BB726D"/>
    <w:rsid w:val="00BB76DF"/>
    <w:rsid w:val="00BB7746"/>
    <w:rsid w:val="00BC0E92"/>
    <w:rsid w:val="00BC19E5"/>
    <w:rsid w:val="00BC384A"/>
    <w:rsid w:val="00BC46A6"/>
    <w:rsid w:val="00BC5CF6"/>
    <w:rsid w:val="00BC6B74"/>
    <w:rsid w:val="00BC6D36"/>
    <w:rsid w:val="00BC72A2"/>
    <w:rsid w:val="00BC78D5"/>
    <w:rsid w:val="00BD2EF7"/>
    <w:rsid w:val="00BD3D1A"/>
    <w:rsid w:val="00BD475C"/>
    <w:rsid w:val="00BD4801"/>
    <w:rsid w:val="00BD4DE1"/>
    <w:rsid w:val="00BD4FBE"/>
    <w:rsid w:val="00BD58B6"/>
    <w:rsid w:val="00BD65FF"/>
    <w:rsid w:val="00BD7707"/>
    <w:rsid w:val="00BE0441"/>
    <w:rsid w:val="00BE1047"/>
    <w:rsid w:val="00BE1B6C"/>
    <w:rsid w:val="00BE1C33"/>
    <w:rsid w:val="00BE2379"/>
    <w:rsid w:val="00BE45AA"/>
    <w:rsid w:val="00BE6413"/>
    <w:rsid w:val="00BE659B"/>
    <w:rsid w:val="00BE68FA"/>
    <w:rsid w:val="00BE7116"/>
    <w:rsid w:val="00BF0670"/>
    <w:rsid w:val="00BF49F8"/>
    <w:rsid w:val="00BF5A57"/>
    <w:rsid w:val="00BF7AB5"/>
    <w:rsid w:val="00C01753"/>
    <w:rsid w:val="00C02277"/>
    <w:rsid w:val="00C0239B"/>
    <w:rsid w:val="00C04167"/>
    <w:rsid w:val="00C04AC6"/>
    <w:rsid w:val="00C05BC8"/>
    <w:rsid w:val="00C0741A"/>
    <w:rsid w:val="00C14737"/>
    <w:rsid w:val="00C152FD"/>
    <w:rsid w:val="00C162BA"/>
    <w:rsid w:val="00C201E1"/>
    <w:rsid w:val="00C2124F"/>
    <w:rsid w:val="00C212A7"/>
    <w:rsid w:val="00C22376"/>
    <w:rsid w:val="00C227F5"/>
    <w:rsid w:val="00C22D66"/>
    <w:rsid w:val="00C23068"/>
    <w:rsid w:val="00C23467"/>
    <w:rsid w:val="00C25433"/>
    <w:rsid w:val="00C2794F"/>
    <w:rsid w:val="00C27A0E"/>
    <w:rsid w:val="00C3067C"/>
    <w:rsid w:val="00C3152B"/>
    <w:rsid w:val="00C366AD"/>
    <w:rsid w:val="00C371B3"/>
    <w:rsid w:val="00C41022"/>
    <w:rsid w:val="00C43892"/>
    <w:rsid w:val="00C44455"/>
    <w:rsid w:val="00C45E55"/>
    <w:rsid w:val="00C50607"/>
    <w:rsid w:val="00C51C10"/>
    <w:rsid w:val="00C560D5"/>
    <w:rsid w:val="00C57232"/>
    <w:rsid w:val="00C578B7"/>
    <w:rsid w:val="00C60964"/>
    <w:rsid w:val="00C6164D"/>
    <w:rsid w:val="00C62F5C"/>
    <w:rsid w:val="00C64F27"/>
    <w:rsid w:val="00C651CC"/>
    <w:rsid w:val="00C66367"/>
    <w:rsid w:val="00C66E94"/>
    <w:rsid w:val="00C70078"/>
    <w:rsid w:val="00C706D5"/>
    <w:rsid w:val="00C7113B"/>
    <w:rsid w:val="00C7207A"/>
    <w:rsid w:val="00C7515E"/>
    <w:rsid w:val="00C75D13"/>
    <w:rsid w:val="00C806C8"/>
    <w:rsid w:val="00C82335"/>
    <w:rsid w:val="00C86958"/>
    <w:rsid w:val="00C86C83"/>
    <w:rsid w:val="00C9059C"/>
    <w:rsid w:val="00C90D2F"/>
    <w:rsid w:val="00C92557"/>
    <w:rsid w:val="00C9265F"/>
    <w:rsid w:val="00C929F4"/>
    <w:rsid w:val="00C94BDF"/>
    <w:rsid w:val="00C94D4D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3683"/>
    <w:rsid w:val="00CB3F83"/>
    <w:rsid w:val="00CB4354"/>
    <w:rsid w:val="00CB68FB"/>
    <w:rsid w:val="00CB69CA"/>
    <w:rsid w:val="00CB76F5"/>
    <w:rsid w:val="00CB7849"/>
    <w:rsid w:val="00CB790F"/>
    <w:rsid w:val="00CB793B"/>
    <w:rsid w:val="00CC28BF"/>
    <w:rsid w:val="00CC43A0"/>
    <w:rsid w:val="00CC45AF"/>
    <w:rsid w:val="00CC4C20"/>
    <w:rsid w:val="00CC5263"/>
    <w:rsid w:val="00CC6195"/>
    <w:rsid w:val="00CD3564"/>
    <w:rsid w:val="00CD3772"/>
    <w:rsid w:val="00CD3D1B"/>
    <w:rsid w:val="00CD44F4"/>
    <w:rsid w:val="00CD52D3"/>
    <w:rsid w:val="00CD6470"/>
    <w:rsid w:val="00CD786F"/>
    <w:rsid w:val="00CD7996"/>
    <w:rsid w:val="00CE0B59"/>
    <w:rsid w:val="00CE269D"/>
    <w:rsid w:val="00CE3672"/>
    <w:rsid w:val="00CE4865"/>
    <w:rsid w:val="00CE4FC4"/>
    <w:rsid w:val="00CE5B13"/>
    <w:rsid w:val="00CE5B87"/>
    <w:rsid w:val="00CE6FCA"/>
    <w:rsid w:val="00CE7D71"/>
    <w:rsid w:val="00CF0270"/>
    <w:rsid w:val="00CF1754"/>
    <w:rsid w:val="00CF1BB4"/>
    <w:rsid w:val="00CF1DDD"/>
    <w:rsid w:val="00CF26C2"/>
    <w:rsid w:val="00D006C5"/>
    <w:rsid w:val="00D01429"/>
    <w:rsid w:val="00D0387D"/>
    <w:rsid w:val="00D03A07"/>
    <w:rsid w:val="00D03F29"/>
    <w:rsid w:val="00D04A56"/>
    <w:rsid w:val="00D04BF0"/>
    <w:rsid w:val="00D0621B"/>
    <w:rsid w:val="00D1133B"/>
    <w:rsid w:val="00D11706"/>
    <w:rsid w:val="00D12825"/>
    <w:rsid w:val="00D13EC9"/>
    <w:rsid w:val="00D1418B"/>
    <w:rsid w:val="00D15727"/>
    <w:rsid w:val="00D16F07"/>
    <w:rsid w:val="00D20299"/>
    <w:rsid w:val="00D2302C"/>
    <w:rsid w:val="00D301A4"/>
    <w:rsid w:val="00D3109D"/>
    <w:rsid w:val="00D32783"/>
    <w:rsid w:val="00D33638"/>
    <w:rsid w:val="00D36E44"/>
    <w:rsid w:val="00D36F67"/>
    <w:rsid w:val="00D40F18"/>
    <w:rsid w:val="00D42D0C"/>
    <w:rsid w:val="00D45DCA"/>
    <w:rsid w:val="00D468B3"/>
    <w:rsid w:val="00D51DA0"/>
    <w:rsid w:val="00D52020"/>
    <w:rsid w:val="00D520ED"/>
    <w:rsid w:val="00D52E18"/>
    <w:rsid w:val="00D53C87"/>
    <w:rsid w:val="00D5448C"/>
    <w:rsid w:val="00D56DA8"/>
    <w:rsid w:val="00D60487"/>
    <w:rsid w:val="00D61471"/>
    <w:rsid w:val="00D61D15"/>
    <w:rsid w:val="00D6301D"/>
    <w:rsid w:val="00D6342F"/>
    <w:rsid w:val="00D7021C"/>
    <w:rsid w:val="00D70B39"/>
    <w:rsid w:val="00D70C32"/>
    <w:rsid w:val="00D71E90"/>
    <w:rsid w:val="00D72B09"/>
    <w:rsid w:val="00D74787"/>
    <w:rsid w:val="00D75B8E"/>
    <w:rsid w:val="00D76DE3"/>
    <w:rsid w:val="00D76FEC"/>
    <w:rsid w:val="00D77404"/>
    <w:rsid w:val="00D77519"/>
    <w:rsid w:val="00D77C3A"/>
    <w:rsid w:val="00D818F3"/>
    <w:rsid w:val="00D82C5E"/>
    <w:rsid w:val="00D83576"/>
    <w:rsid w:val="00D84302"/>
    <w:rsid w:val="00D8462C"/>
    <w:rsid w:val="00D85C5C"/>
    <w:rsid w:val="00D86590"/>
    <w:rsid w:val="00D90C8F"/>
    <w:rsid w:val="00D94E00"/>
    <w:rsid w:val="00D96985"/>
    <w:rsid w:val="00D97F7E"/>
    <w:rsid w:val="00DA2EF7"/>
    <w:rsid w:val="00DA3EDC"/>
    <w:rsid w:val="00DA4533"/>
    <w:rsid w:val="00DA460A"/>
    <w:rsid w:val="00DA5353"/>
    <w:rsid w:val="00DB0124"/>
    <w:rsid w:val="00DB01C1"/>
    <w:rsid w:val="00DB04E1"/>
    <w:rsid w:val="00DB17B2"/>
    <w:rsid w:val="00DB1A03"/>
    <w:rsid w:val="00DB3350"/>
    <w:rsid w:val="00DB3D0C"/>
    <w:rsid w:val="00DB5AA5"/>
    <w:rsid w:val="00DB6761"/>
    <w:rsid w:val="00DB6BDC"/>
    <w:rsid w:val="00DC13BB"/>
    <w:rsid w:val="00DC322B"/>
    <w:rsid w:val="00DC48CE"/>
    <w:rsid w:val="00DC5269"/>
    <w:rsid w:val="00DC585C"/>
    <w:rsid w:val="00DC615A"/>
    <w:rsid w:val="00DD0799"/>
    <w:rsid w:val="00DD3976"/>
    <w:rsid w:val="00DD4977"/>
    <w:rsid w:val="00DD4C18"/>
    <w:rsid w:val="00DD7346"/>
    <w:rsid w:val="00DD73EB"/>
    <w:rsid w:val="00DD74E5"/>
    <w:rsid w:val="00DE02C1"/>
    <w:rsid w:val="00DE03FA"/>
    <w:rsid w:val="00DE13C1"/>
    <w:rsid w:val="00DE184A"/>
    <w:rsid w:val="00DE2A1B"/>
    <w:rsid w:val="00DE472F"/>
    <w:rsid w:val="00DE4D0C"/>
    <w:rsid w:val="00DE5B79"/>
    <w:rsid w:val="00DE5BF0"/>
    <w:rsid w:val="00DE6387"/>
    <w:rsid w:val="00DF06D9"/>
    <w:rsid w:val="00DF073F"/>
    <w:rsid w:val="00DF1156"/>
    <w:rsid w:val="00DF1608"/>
    <w:rsid w:val="00DF1DE2"/>
    <w:rsid w:val="00DF2228"/>
    <w:rsid w:val="00DF2719"/>
    <w:rsid w:val="00DF3659"/>
    <w:rsid w:val="00DF6613"/>
    <w:rsid w:val="00DF66BA"/>
    <w:rsid w:val="00DF706B"/>
    <w:rsid w:val="00DF718E"/>
    <w:rsid w:val="00E00C7D"/>
    <w:rsid w:val="00E027D5"/>
    <w:rsid w:val="00E07160"/>
    <w:rsid w:val="00E10456"/>
    <w:rsid w:val="00E130F4"/>
    <w:rsid w:val="00E14A8C"/>
    <w:rsid w:val="00E15504"/>
    <w:rsid w:val="00E15D62"/>
    <w:rsid w:val="00E16CF4"/>
    <w:rsid w:val="00E21E63"/>
    <w:rsid w:val="00E23DC1"/>
    <w:rsid w:val="00E25067"/>
    <w:rsid w:val="00E309AB"/>
    <w:rsid w:val="00E32230"/>
    <w:rsid w:val="00E324D7"/>
    <w:rsid w:val="00E3345F"/>
    <w:rsid w:val="00E3427A"/>
    <w:rsid w:val="00E3455B"/>
    <w:rsid w:val="00E35FC0"/>
    <w:rsid w:val="00E41C74"/>
    <w:rsid w:val="00E421F7"/>
    <w:rsid w:val="00E452F5"/>
    <w:rsid w:val="00E465BA"/>
    <w:rsid w:val="00E47D19"/>
    <w:rsid w:val="00E52097"/>
    <w:rsid w:val="00E53608"/>
    <w:rsid w:val="00E5372C"/>
    <w:rsid w:val="00E559EC"/>
    <w:rsid w:val="00E563AC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309"/>
    <w:rsid w:val="00E73357"/>
    <w:rsid w:val="00E735C7"/>
    <w:rsid w:val="00E73A95"/>
    <w:rsid w:val="00E75E4C"/>
    <w:rsid w:val="00E765F0"/>
    <w:rsid w:val="00E805FE"/>
    <w:rsid w:val="00E80B33"/>
    <w:rsid w:val="00E82DA6"/>
    <w:rsid w:val="00E838C5"/>
    <w:rsid w:val="00E83A47"/>
    <w:rsid w:val="00E8435B"/>
    <w:rsid w:val="00E85892"/>
    <w:rsid w:val="00E870AD"/>
    <w:rsid w:val="00E922A6"/>
    <w:rsid w:val="00E92BF6"/>
    <w:rsid w:val="00E92E00"/>
    <w:rsid w:val="00E93B25"/>
    <w:rsid w:val="00E9568A"/>
    <w:rsid w:val="00E9776C"/>
    <w:rsid w:val="00EA084A"/>
    <w:rsid w:val="00EA0DF4"/>
    <w:rsid w:val="00EA2372"/>
    <w:rsid w:val="00EA258F"/>
    <w:rsid w:val="00EA3073"/>
    <w:rsid w:val="00EA4118"/>
    <w:rsid w:val="00EA42AB"/>
    <w:rsid w:val="00EA4523"/>
    <w:rsid w:val="00EA5E6F"/>
    <w:rsid w:val="00EB04AB"/>
    <w:rsid w:val="00EB180B"/>
    <w:rsid w:val="00EB1FA4"/>
    <w:rsid w:val="00EB2EBB"/>
    <w:rsid w:val="00EB3B66"/>
    <w:rsid w:val="00EB4F62"/>
    <w:rsid w:val="00EB70DA"/>
    <w:rsid w:val="00EC01B4"/>
    <w:rsid w:val="00EC212C"/>
    <w:rsid w:val="00EC21CB"/>
    <w:rsid w:val="00EC3B78"/>
    <w:rsid w:val="00EC3F2D"/>
    <w:rsid w:val="00EC4046"/>
    <w:rsid w:val="00EC442B"/>
    <w:rsid w:val="00EC498F"/>
    <w:rsid w:val="00EC4C0B"/>
    <w:rsid w:val="00EC5A53"/>
    <w:rsid w:val="00EC75BE"/>
    <w:rsid w:val="00EC79EA"/>
    <w:rsid w:val="00EC7A39"/>
    <w:rsid w:val="00ED03C7"/>
    <w:rsid w:val="00ED0881"/>
    <w:rsid w:val="00ED24FB"/>
    <w:rsid w:val="00ED29BF"/>
    <w:rsid w:val="00ED29F0"/>
    <w:rsid w:val="00ED33FE"/>
    <w:rsid w:val="00ED7554"/>
    <w:rsid w:val="00EE2325"/>
    <w:rsid w:val="00EE2896"/>
    <w:rsid w:val="00EE2CCB"/>
    <w:rsid w:val="00EE39DB"/>
    <w:rsid w:val="00EE3CFF"/>
    <w:rsid w:val="00EE429D"/>
    <w:rsid w:val="00EE429F"/>
    <w:rsid w:val="00EE5E1A"/>
    <w:rsid w:val="00EE72BD"/>
    <w:rsid w:val="00EE7FE2"/>
    <w:rsid w:val="00EF1219"/>
    <w:rsid w:val="00EF184C"/>
    <w:rsid w:val="00EF19FB"/>
    <w:rsid w:val="00EF3BED"/>
    <w:rsid w:val="00EF3C6D"/>
    <w:rsid w:val="00EF4B44"/>
    <w:rsid w:val="00EF4C80"/>
    <w:rsid w:val="00EF556A"/>
    <w:rsid w:val="00EF59BB"/>
    <w:rsid w:val="00EF688C"/>
    <w:rsid w:val="00EF73D6"/>
    <w:rsid w:val="00EF7A17"/>
    <w:rsid w:val="00F02B50"/>
    <w:rsid w:val="00F03169"/>
    <w:rsid w:val="00F038F1"/>
    <w:rsid w:val="00F04130"/>
    <w:rsid w:val="00F0533B"/>
    <w:rsid w:val="00F0630D"/>
    <w:rsid w:val="00F06BA2"/>
    <w:rsid w:val="00F06DA7"/>
    <w:rsid w:val="00F0757A"/>
    <w:rsid w:val="00F101CF"/>
    <w:rsid w:val="00F106E3"/>
    <w:rsid w:val="00F10B5C"/>
    <w:rsid w:val="00F11963"/>
    <w:rsid w:val="00F11A2C"/>
    <w:rsid w:val="00F12F3D"/>
    <w:rsid w:val="00F13239"/>
    <w:rsid w:val="00F13765"/>
    <w:rsid w:val="00F16BF1"/>
    <w:rsid w:val="00F17C9D"/>
    <w:rsid w:val="00F20FBB"/>
    <w:rsid w:val="00F2173A"/>
    <w:rsid w:val="00F2232D"/>
    <w:rsid w:val="00F22805"/>
    <w:rsid w:val="00F2282F"/>
    <w:rsid w:val="00F23C32"/>
    <w:rsid w:val="00F23EF7"/>
    <w:rsid w:val="00F25C99"/>
    <w:rsid w:val="00F26D1E"/>
    <w:rsid w:val="00F271CE"/>
    <w:rsid w:val="00F276A2"/>
    <w:rsid w:val="00F332EC"/>
    <w:rsid w:val="00F347C2"/>
    <w:rsid w:val="00F369BF"/>
    <w:rsid w:val="00F373FF"/>
    <w:rsid w:val="00F4002E"/>
    <w:rsid w:val="00F403D5"/>
    <w:rsid w:val="00F40675"/>
    <w:rsid w:val="00F44A88"/>
    <w:rsid w:val="00F44CA4"/>
    <w:rsid w:val="00F455CE"/>
    <w:rsid w:val="00F462EC"/>
    <w:rsid w:val="00F46C97"/>
    <w:rsid w:val="00F472BC"/>
    <w:rsid w:val="00F47A83"/>
    <w:rsid w:val="00F50779"/>
    <w:rsid w:val="00F51528"/>
    <w:rsid w:val="00F52EF5"/>
    <w:rsid w:val="00F532A5"/>
    <w:rsid w:val="00F5436F"/>
    <w:rsid w:val="00F56E59"/>
    <w:rsid w:val="00F56F09"/>
    <w:rsid w:val="00F57973"/>
    <w:rsid w:val="00F60974"/>
    <w:rsid w:val="00F62529"/>
    <w:rsid w:val="00F62832"/>
    <w:rsid w:val="00F63C1F"/>
    <w:rsid w:val="00F652FA"/>
    <w:rsid w:val="00F653E1"/>
    <w:rsid w:val="00F65617"/>
    <w:rsid w:val="00F66F07"/>
    <w:rsid w:val="00F71E59"/>
    <w:rsid w:val="00F72847"/>
    <w:rsid w:val="00F738FE"/>
    <w:rsid w:val="00F7401D"/>
    <w:rsid w:val="00F7414C"/>
    <w:rsid w:val="00F76509"/>
    <w:rsid w:val="00F76C31"/>
    <w:rsid w:val="00F8042E"/>
    <w:rsid w:val="00F80F36"/>
    <w:rsid w:val="00F817F3"/>
    <w:rsid w:val="00F847FE"/>
    <w:rsid w:val="00F85E07"/>
    <w:rsid w:val="00F86CC8"/>
    <w:rsid w:val="00F907ED"/>
    <w:rsid w:val="00F91D48"/>
    <w:rsid w:val="00F9255D"/>
    <w:rsid w:val="00F92BA8"/>
    <w:rsid w:val="00F92D02"/>
    <w:rsid w:val="00F93E25"/>
    <w:rsid w:val="00F9532C"/>
    <w:rsid w:val="00F95F46"/>
    <w:rsid w:val="00F96310"/>
    <w:rsid w:val="00F964FA"/>
    <w:rsid w:val="00F96616"/>
    <w:rsid w:val="00FA349A"/>
    <w:rsid w:val="00FA37D9"/>
    <w:rsid w:val="00FA43B3"/>
    <w:rsid w:val="00FA4E01"/>
    <w:rsid w:val="00FA56BC"/>
    <w:rsid w:val="00FA680E"/>
    <w:rsid w:val="00FA6C71"/>
    <w:rsid w:val="00FA7D5B"/>
    <w:rsid w:val="00FB10DF"/>
    <w:rsid w:val="00FB1B07"/>
    <w:rsid w:val="00FB3156"/>
    <w:rsid w:val="00FB3A12"/>
    <w:rsid w:val="00FC03CE"/>
    <w:rsid w:val="00FC0A3A"/>
    <w:rsid w:val="00FC1183"/>
    <w:rsid w:val="00FC162B"/>
    <w:rsid w:val="00FC1FC0"/>
    <w:rsid w:val="00FC2B68"/>
    <w:rsid w:val="00FC2D6B"/>
    <w:rsid w:val="00FC2DBF"/>
    <w:rsid w:val="00FC3264"/>
    <w:rsid w:val="00FC67BC"/>
    <w:rsid w:val="00FC6D8E"/>
    <w:rsid w:val="00FC7099"/>
    <w:rsid w:val="00FD044D"/>
    <w:rsid w:val="00FD2A8C"/>
    <w:rsid w:val="00FD36AE"/>
    <w:rsid w:val="00FD3C4A"/>
    <w:rsid w:val="00FD548E"/>
    <w:rsid w:val="00FD58BB"/>
    <w:rsid w:val="00FD6452"/>
    <w:rsid w:val="00FD7726"/>
    <w:rsid w:val="00FD7995"/>
    <w:rsid w:val="00FE13B5"/>
    <w:rsid w:val="00FE149C"/>
    <w:rsid w:val="00FE2566"/>
    <w:rsid w:val="00FE4611"/>
    <w:rsid w:val="00FE51AE"/>
    <w:rsid w:val="00FE5D7A"/>
    <w:rsid w:val="00FE6963"/>
    <w:rsid w:val="00FE6D94"/>
    <w:rsid w:val="00FF3189"/>
    <w:rsid w:val="00FF5ED4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37DD8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B0124"/>
    <w:pPr>
      <w:snapToGrid w:val="0"/>
    </w:pPr>
    <w:rPr>
      <w:lang w:val="fr-FR"/>
    </w:rPr>
  </w:style>
  <w:style w:type="paragraph" w:styleId="Nadpis1">
    <w:name w:val="heading 1"/>
    <w:basedOn w:val="Normln"/>
    <w:next w:val="Text1"/>
    <w:qFormat/>
    <w:rsid w:val="00443AC3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rsid w:val="00443AC3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443AC3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 w:val="0"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 w:val="0"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 w:val="0"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 w:val="0"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1A05"/>
    <w:rPr>
      <w:color w:val="605E5C"/>
      <w:shd w:val="clear" w:color="auto" w:fill="E1DFDD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10DE8"/>
    <w:rPr>
      <w:lang w:val="fr-FR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605"/>
    <w:rPr>
      <w:rFonts w:ascii="Courier New" w:hAnsi="Courier New" w:cs="Courier New"/>
      <w:lang w:eastAsia="cs-CZ"/>
    </w:rPr>
  </w:style>
  <w:style w:type="character" w:customStyle="1" w:styleId="y2iqfc">
    <w:name w:val="y2iqfc"/>
    <w:basedOn w:val="Standardnpsmoodstavce"/>
    <w:rsid w:val="0009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df.iro@uh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uhk.cz/gdp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3" ma:contentTypeDescription="Create a new document." ma:contentTypeScope="" ma:versionID="5846c6639756d281e29bf57d96e97fa5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dc63e78d5ae24a2d5455ab5e9aedaf6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B655-C05A-4089-8C01-263CC4E6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8F9430-CD49-465A-AA8B-E93D094F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2431</Words>
  <Characters>14349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Nosková Petra</cp:lastModifiedBy>
  <cp:revision>2</cp:revision>
  <cp:lastPrinted>2015-03-04T15:51:00Z</cp:lastPrinted>
  <dcterms:created xsi:type="dcterms:W3CDTF">2024-09-17T08:57:00Z</dcterms:created>
  <dcterms:modified xsi:type="dcterms:W3CDTF">2024-09-17T08:57:00Z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0x010100087E4EC354ADFB40AC5D4FC129E379BA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